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EArbzV 2006</w:t>
      </w:r>
    </w:p>
    <w:p>
      <w:r>
        <w:rPr>
          <w:color w:val="555555"/>
          <w:sz w:val="18"/>
        </w:rPr>
        <w:t xml:space="preserve">Eisenbahnarbeitszeitverordnung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7 Abs. 4 Nr. 2 und des § 27 Abs. 1 Satz 1 des Gesetzes zur Zusammenführung und Neugliederung der Bundeseisenbahnen vom 27. Dezember 1993 (BGBl. I S. 2378, 1994 I S. 2439), von denen § 7 Abs. 4 zuletzt durch Artikel 263 Nr. 2 der Verordnung vom 29. Oktober 2001 (BGBl. I S. 2785) geändert worden ist, in Verbindung mit § 1 des Zuständigkeitsanpassungsgesetzes vom 16. August 2002 (BGBl. I S. 3165) und dem Organisationserlass vom 22. November 2005 (BGBl. I S. 3197) verordnet das Bundesministerium für Verkehr, Bau und Stadtentwicklung im Einvernehmen mit dem Bundesministerium des Innern:</w:t>
      </w:r>
    </w:p>
    <w:p>
      <w:r>
        <w:rPr>
          <w:color w:val="555555"/>
          <w:sz w:val="17"/>
        </w:rPr>
        <w:t xml:space="preserve">Zitiervorschlag: Eingangsformel EArbzV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https://recht.nulegal.eu/gesetze/EArbzV%202006/eingangsformel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