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EArbzV 2006 — Ruhepausen</w:t>
      </w:r>
    </w:p>
    <w:p>
      <w:r>
        <w:rPr>
          <w:color w:val="555555"/>
          <w:sz w:val="18"/>
        </w:rPr>
        <w:t xml:space="preserve">Eisenbahnarbeitszeitverordnung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Ruhepausen werden nicht auf die Arbeitszeit angerechnet. Abweichend hiervon können Ruhepausen angerechnet werden, soweit dies betrieblich erforderlich ist.</w:t>
      </w:r>
    </w:p>
    <w:p>
      <w:r>
        <w:t xml:space="preserve">(2) Die Ruhepausen dürfen auf Kurzpausen von fünf bis 14 Minuten aufgeteilt werden, soweit dies betrieblich erforderlich und für die zu leistende Tätigkeit eine ausreichende Erholung gewährleistet ist.</w:t>
      </w:r>
    </w:p>
    <w:p>
      <w:r>
        <w:rPr>
          <w:color w:val="555555"/>
          <w:sz w:val="17"/>
        </w:rPr>
        <w:t xml:space="preserve">Zitiervorschlag: § 3 EArbzV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https://recht.nulegal.eu/gesetze/EArbzV%202006/3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EArbzV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