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EArbzV 2006 — Jahresarbeitszeit</w:t>
      </w:r>
    </w:p>
    <w:p>
      <w:r>
        <w:rPr>
          <w:color w:val="555555"/>
          <w:sz w:val="18"/>
        </w:rPr>
        <w:t xml:space="preserve">Eisenbahnarbeitszeitverordnung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regelmäßige Arbeitszeit der Beamtinnen und Beamten kann als Jahresarbeitszeit festgelegt werden. Diese errechnet sich im Kalenderjahr (Abrechnungszeitraum) aus der in § 3 Abs. 1 der Arbeitszeitverordnung genannten regelmäßigen wöchentlichen Arbeitszeit multipliziert mit dem Faktor 52,2 (Jahresarbeitszeit-Soll). Es kann auch ein anderer Zeitraum von zwölf aufeinander folgenden Kalendermonaten als Abrechnungszeitraum bestimmt werden, sofern dafür ein sachlicher Grund besteht.</w:t>
      </w:r>
    </w:p>
    <w:p>
      <w:r>
        <w:t xml:space="preserve">(2) Die Arbeitszeit kann auf die Wochentage Montag bis Sonntag - auch ungleichmäßig - verteilt und innerhalb des Abrechnungszeitraums nach Absatz 1 nach betrieblichen Erfordernissen eingeteilt werden. Der Verteilung des Jahresarbeitszeit-Solls werden 261 Arbeitstage (24-Stundenzeiträume) zu Grunde gelegt.</w:t>
      </w:r>
    </w:p>
    <w:p>
      <w:r>
        <w:t xml:space="preserve">(3) Zeitguthaben am Ende eines Abrechnungszeitraums werden in den nächsten Abrechnungszeitraum übertragen.</w:t>
      </w:r>
    </w:p>
    <w:p>
      <w:r>
        <w:t xml:space="preserve">(4) Wird das Jahresarbeitszeit-Soll am Ende des Abrechnungszeitraums nicht erreicht, werden bis zu 40 Stunden in den nächsten Abrechnungszeitraum übertragen.</w:t>
      </w:r>
    </w:p>
    <w:p>
      <w:r>
        <w:rPr>
          <w:color w:val="555555"/>
          <w:sz w:val="17"/>
        </w:rPr>
        <w:t xml:space="preserve">Zitiervorschlag: § 2 EArbzV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https://recht.nulegal.eu/gesetze/EArbzV%202006/2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EArbzV 2006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