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EAPatV — Vorlegen von Akten</w:t>
      </w:r>
    </w:p>
    <w:p>
      <w:r>
        <w:rPr>
          <w:color w:val="555555"/>
          <w:sz w:val="18"/>
        </w:rPr>
        <w:t xml:space="preserve">Verordnung über die elektronische Aktenführung bei dem Deutschen Patent- und Markenamt, dem Patentgericht und dem Bundesgerichtshof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Akten einem Gericht oder einer Behörde vorzulegen, werden alle elektronischen Aktenbestandteile übersandt oder der unbeschränkte Zugriff darauf ermöglicht. Die Aktenbestandteile dürfen keinen Kopierschutz tragen.</w:t>
      </w:r>
    </w:p>
    <w:p>
      <w:r>
        <w:t xml:space="preserve">(2) Werden Akten in einem Rechtsmittelverfahren vorgelegt, so muss erkennbar sein, auf welchem Stand sich die Akten befanden, als das Rechtsmittel eingelegt wurde.</w:t>
      </w:r>
    </w:p>
    <w:p>
      <w:r>
        <w:t xml:space="preserve">(3) Kann das Gericht oder die Behörde den Inhalt der Dateien nicht in eine lesbare Form bringen, sind die betreffenden Aktenteile in einer anderen, geeigneten Form zu übersenden.</w:t>
      </w:r>
    </w:p>
    <w:p>
      <w:r>
        <w:rPr>
          <w:color w:val="555555"/>
          <w:sz w:val="17"/>
        </w:rPr>
        <w:t xml:space="preserve">Zitiervorschlag: § 8 EAPatV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https://recht.nulegal.eu/gesetze/EAPatV/8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