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EAPatV — Herkunftsnachweis</w:t>
      </w:r>
    </w:p>
    <w:p>
      <w:r>
        <w:rPr>
          <w:color w:val="555555"/>
          <w:sz w:val="18"/>
        </w:rPr>
        <w:t xml:space="preserve">Verordnung über die elektronische Aktenführung bei dem Deutschen Patent- und Markenamt, dem Patentgericht und dem Bundesgerichtshof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handschriftliche Unterzeichnung nicht erforderlich, so kann in elektronischen Bestandteilen der Akte statt der elektronischen Signatur ein anderer eindeutiger Herkunftsnachweis verwendet werden, der nicht unbemerkt verändert werden kann.</w:t>
      </w:r>
    </w:p>
    <w:p>
      <w:r>
        <w:t xml:space="preserve">(2) Ein elektronisches Dokument wird unterzeichnet, indem der Name der unterzeichnenden Person eingefügt wird. Die Dokumente werden durch einen qualifizierten Zeitstempel gesichert.</w:t>
      </w:r>
    </w:p>
    <w:p>
      <w:r>
        <w:t xml:space="preserve">(3) Eine Niederschrift oder ein Beschluss des Deutschen Patent- und Markenamts wird unterzeichnet, indem</w:t>
      </w:r>
    </w:p>
    <w:p>
      <w:pPr>
        <w:ind w:left="420"/>
      </w:pPr>
      <w:r>
        <w:t xml:space="preserve">1. der Name der unterzeichnenden Person oder der unterzeichnenden Personen eingefügt wird und</w:t>
      </w:r>
    </w:p>
    <w:p>
      <w:pPr>
        <w:ind w:left="420"/>
      </w:pPr>
      <w:r>
        <w:t xml:space="preserve">2. das Dokument versehen wird</w:t>
      </w:r>
    </w:p>
    <w:p>
      <w:pPr>
        <w:ind w:left="780"/>
      </w:pPr>
      <w:r>
        <w:t xml:space="preserve">a) mit einer fortgeschrittenen Signatur nach Artikel 3 Nummer 11 der Verordnung (EU) Nr. 910/2014 des Europäischen Parlaments und des Rates vom 23. Juli 2014 über elektronische Identifizierung und Vertrauensdienste für elektronische Transaktionen im Binnenmarkt und zur Aufhebung der Richtlinie 1999/93/EG (ABl. L 257 vom 28.8.2014, S. 73) oder</w:t>
      </w:r>
    </w:p>
    <w:p>
      <w:pPr>
        <w:ind w:left="780"/>
      </w:pPr>
      <w:r>
        <w:t xml:space="preserve">b) mit einer qualifizierten elektronischen Signatur nach Artikel 3 Nummer 12 der Verordnung (EU) Nr. 910/2014.</w:t>
      </w:r>
    </w:p>
    <w:p>
      <w:r>
        <w:rPr>
          <w:color w:val="555555"/>
          <w:sz w:val="17"/>
        </w:rPr>
        <w:t xml:space="preserve">Zitiervorschlag: § 5 EAPatV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https://recht.nulegal.eu/gesetze/EAPatV/5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