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EAPatV — Überblick über Aktenbestandteile</w:t>
      </w:r>
    </w:p>
    <w:p>
      <w:r>
        <w:rPr>
          <w:color w:val="555555"/>
          <w:sz w:val="18"/>
        </w:rPr>
        <w:t xml:space="preserve">Verordnung über die elektronische Aktenführung bei dem Deutschen Patent- und Markenamt, dem Patentgericht und dem Bundesgerichtshof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Enthält eine Akte sowohl elektronische als auch papiergebundene Bestandteile, so muss beim Zugriff auf jeden der Teile ein Hinweis auf den jeweils anderen Teil sichtbar sein.</w:t>
      </w:r>
    </w:p>
    <w:p>
      <w:r>
        <w:t xml:space="preserve">(2) Vor jedem Zugriff auf einen elektronischen Aktenbestandteil muss ein vollständiger Überblick über alle anderen elektronischen Aktenbestandteile sichtbar sein.</w:t>
      </w:r>
    </w:p>
    <w:p>
      <w:r>
        <w:rPr>
          <w:color w:val="555555"/>
          <w:sz w:val="17"/>
        </w:rPr>
        <w:t xml:space="preserve">Zitiervorschlag: § 4 EAPatV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https://recht.nulegal.eu/gesetze/EAPatV/4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