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EAPatV — Verfahrensrecht für das Deutsche Patent- und Markenamt</w:t>
      </w:r>
    </w:p>
    <w:p>
      <w:r>
        <w:rPr>
          <w:color w:val="555555"/>
          <w:sz w:val="18"/>
        </w:rPr>
        <w:t xml:space="preserve">Verordnung über die elektronische Aktenführung bei dem Deutschen Patent- und Markenamt, dem Patentgericht und dem Bundesgerichtshof</w:t>
      </w:r>
    </w:p>
    <w:p>
      <w:r>
        <w:rPr>
          <w:color w:val="555555"/>
          <w:sz w:val="18"/>
        </w:rPr>
        <w:t xml:space="preserve">Stand: 19.02.2022 (konsolidierte Textfassung, kein amtliches Inkrafttretensdatum)</w:t>
      </w:r>
    </w:p>
    <w:p>
      <w:r>
        <w:t xml:space="preserve">Für das Verfahren vor dem Deutschen Patent- und Markenamt gelten die Regelungen der Zivilprozessordnung über die elektronische Aktenführung entsprechend.</w:t>
      </w:r>
    </w:p>
    <w:p>
      <w:r>
        <w:rPr>
          <w:color w:val="555555"/>
          <w:sz w:val="17"/>
        </w:rPr>
        <w:t xml:space="preserve">Zitiervorschlag: § 2 EAPatV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https://recht.nulegal.eu/gesetze/EAPatV/2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