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EAPatV — Elektronische Aktenführung</w:t>
      </w:r>
    </w:p>
    <w:p>
      <w:r>
        <w:rPr>
          <w:color w:val="555555"/>
          <w:sz w:val="18"/>
        </w:rPr>
        <w:t xml:space="preserve">Verordnung über die elektronische Aktenführung bei dem Deutschen Patent- und Markenamt, dem Patentgericht und dem Bundesgerichtshof</w:t>
      </w:r>
    </w:p>
    <w:p>
      <w:r>
        <w:rPr>
          <w:color w:val="555555"/>
          <w:sz w:val="18"/>
        </w:rPr>
        <w:t xml:space="preserve">Stand: 19.02.2022 (konsolidierte Textfassung, kein amtliches Inkrafttretensdatum)</w:t>
      </w:r>
    </w:p>
    <w:p>
      <w:r>
        <w:t xml:space="preserve">Das Deutsche Patent- und Markenamt, das Patentgericht und der Bundesgerichtshof, soweit er für die Verhandlung und Entscheidung über Rechtsmittel gegen Entscheidungen des Patentgerichts zuständig ist, können Verfahrensakten ganz oder teilweise auch elektronisch führen.</w:t>
      </w:r>
    </w:p>
    <w:p>
      <w:r>
        <w:rPr>
          <w:color w:val="555555"/>
          <w:sz w:val="17"/>
        </w:rPr>
        <w:t xml:space="preserve">Zitiervorschlag: § 1 EAPatV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https://recht.nulegal.eu/gesetze/EAPatV/1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