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EAMIV</w:t>
      </w:r>
    </w:p>
    <w:p>
      <w:r>
        <w:rPr>
          <w:color w:val="555555"/>
          <w:sz w:val="18"/>
        </w:rPr>
        <w:t xml:space="preserve">Elektronische Arzneimittelinformationen-Verordnung</w:t>
      </w:r>
    </w:p>
    <w:p>
      <w:r>
        <w:rPr>
          <w:color w:val="555555"/>
          <w:sz w:val="18"/>
        </w:rPr>
        <w:t xml:space="preserve">Stand: 09.08.2019 (konsolidierte Textfassung, kein amtliches Inkrafttretensdatum)</w:t>
      </w:r>
    </w:p>
    <w:p>
      <w:r>
        <w:t xml:space="preserve">Auf Grund des § 35a Absatz 3a Satz 2 und des § 73 Absatz 9 Satz 2 des Fünften Buches Sozialgesetzbuch – Gesetzliche Krankenversicherung –, von denen § 35a Absatz 3a Satz 2 durch Artikel 1 Nummer 15 Buchstabe c Doppelbuchstabe bb des Gesetzes vom 6. Mai 2019 (BGBl. I S. 646) eingefügt worden ist und § 73 Absatz 9 Satz 2 durch Artikel 1 Nummer 33 Buchstabe d des Gesetzes vom 6. Mai 2019 (BGBl. I S. 646) geändert worden ist, verordnet das Bundesministerium für Gesundheit:</w:t>
      </w:r>
    </w:p>
    <w:p>
      <w:r>
        <w:rPr>
          <w:color w:val="555555"/>
          <w:sz w:val="17"/>
        </w:rPr>
        <w:t xml:space="preserve">Zitiervorschlag: Eingangsformel EAMIV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https://recht.nulegal.eu/gesetze/EAMIV/eingangsformel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