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EAMIV — Inkrafttreten</w:t>
      </w:r>
    </w:p>
    <w:p>
      <w:r>
        <w:rPr>
          <w:color w:val="555555"/>
          <w:sz w:val="18"/>
        </w:rPr>
        <w:t xml:space="preserve">Elektronische Arzneimittelinformationen-Verordnung</w:t>
      </w:r>
    </w:p>
    <w:p>
      <w:r>
        <w:rPr>
          <w:color w:val="555555"/>
          <w:sz w:val="18"/>
        </w:rPr>
        <w:t xml:space="preserve">Stand: 09.08.2019 (konsolidierte Textfassung, kein amtliches Inkrafttretensdatum)</w:t>
      </w:r>
    </w:p>
    <w:p>
      <w:r>
        <w:t xml:space="preserve">(1) Diese Verordnung tritt vorbehaltlich des Absatzes 2 am Tag nach der Verkündung in Kraft.</w:t>
      </w:r>
    </w:p>
    <w:p>
      <w:r>
        <w:t xml:space="preserve">(2) Die §§ 2 und 3 treten am 1. Juli 2020 in Kraft.</w:t>
      </w:r>
    </w:p>
    <w:p>
      <w:r>
        <w:rPr>
          <w:color w:val="555555"/>
          <w:sz w:val="17"/>
        </w:rPr>
        <w:t xml:space="preserve">Zitiervorschlag: § 7 EAMIV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https://recht.nulegal.eu/gesetze/EAMIV/7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