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EAMIV — Datenschutz und Datensicherheit</w:t>
      </w:r>
    </w:p>
    <w:p>
      <w:r>
        <w:rPr>
          <w:color w:val="555555"/>
          <w:sz w:val="18"/>
        </w:rPr>
        <w:t xml:space="preserve">Elektronische Arzneimittelinformationen-Verordnung</w:t>
      </w:r>
    </w:p>
    <w:p>
      <w:r>
        <w:rPr>
          <w:color w:val="555555"/>
          <w:sz w:val="18"/>
        </w:rPr>
        <w:t xml:space="preserve">Stand: 09.08.2019 (konsolidierte Textfassung, kein amtliches Inkrafttretensdatum)</w:t>
      </w:r>
    </w:p>
    <w:p>
      <w:r>
        <w:t xml:space="preserve">Bei der Bereitstellung der Daten in der maschinenlesbaren Fassung sind dem jeweiligen Stand der Technik entsprechende Maßnahmen zur Sicherstellung des Datenschutzes und der Datensicherheit zu treffen.</w:t>
      </w:r>
    </w:p>
    <w:p>
      <w:r>
        <w:rPr>
          <w:color w:val="555555"/>
          <w:sz w:val="17"/>
        </w:rPr>
        <w:t xml:space="preserve">Zitiervorschlag: § 5 EAMIV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https://recht.nulegal.eu/gesetze/EAMIV/5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