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EAMIV — Mindestanforderungen an die Darstellung der Informationen in elektronischen Programmen</w:t>
      </w:r>
    </w:p>
    <w:p>
      <w:r>
        <w:rPr>
          <w:color w:val="555555"/>
          <w:sz w:val="18"/>
        </w:rPr>
        <w:t xml:space="preserve">Elektronische Arzneimittelinformationen-Verordnung</w:t>
      </w:r>
    </w:p>
    <w:p>
      <w:r>
        <w:rPr>
          <w:color w:val="555555"/>
          <w:sz w:val="18"/>
        </w:rPr>
        <w:t xml:space="preserve">Stand: 01.10.2023 (konsolidierte Textfassung, kein amtliches Inkrafttretensdatum)</w:t>
      </w:r>
    </w:p>
    <w:p>
      <w:r>
        <w:t xml:space="preserve">(1) Bei der Anzeige des Arzneimittels oder des Wirkstoffs in Suchergebnissen und Vergleichslisten des elektronischen Programms ist ein Hinweis anzuzeigen, wenn ein Beschluss des Gemeinsamen Bundesausschusses hierzu vorhanden ist. Beschlüsse des Gemeinsamen Bundesausschusses, die aufgehoben wurden oder nicht mehr gültig sind, sind entsprechend zu kennzeichnen oder zu entfernen.</w:t>
      </w:r>
    </w:p>
    <w:p>
      <w:r>
        <w:t xml:space="preserve">(2) Die Angaben nach § 2 müssen so in das elektronische Programm implementiert werden, dass sie eine Recherche mindestens nach den Informationen nach § 2 Absatz 1 Nummer 1, 2 und 3 erlauben.</w:t>
      </w:r>
    </w:p>
    <w:p>
      <w:r>
        <w:t xml:space="preserve">(3) Liegt zu einem Arzneimittel oder einem Wirkstoff genehmigtes Schulungsmaterial oder ein Rote-Hand-Brief vor, so muss bei der Anzeige des Arzneimittels oder des Wirkstoffs in Suchergebnissen und Vergleichslisten des elektronischen Programms auch das genehmigte Schulungsmaterial oder der Rote-Hand-Brief angezeigt werden. Die Anzeige erfolgt</w:t>
      </w:r>
    </w:p>
    <w:p>
      <w:pPr>
        <w:ind w:left="420"/>
      </w:pPr>
      <w:r>
        <w:t xml:space="preserve">1. durch einen Hyperlink zur Stelle der Internetseite der zuständigen Bundesoberbehörde, an der der Wortlaut des genehmigten Schulungsmaterials oder des Rote-Hand-Briefs bereitgestellt wird, oder</w:t>
      </w:r>
    </w:p>
    <w:p>
      <w:pPr>
        <w:ind w:left="420"/>
      </w:pPr>
      <w:r>
        <w:t xml:space="preserve">2. durch ein im elektronischen Programm hinterlegtes Dokument mit dem Wortlaut des genehmigten Schulungsmaterials oder des Rote-Hand-Briefs im Dateiformat PDF.</w:t>
      </w:r>
    </w:p>
    <w:p>
      <w:r>
        <w:t xml:space="preserve">Die Anzeige eines Rote-Hand-Briefs kann aus der in Satz 1 genannten Anzeige des Arzneimittels oder des Wirkstoffs in Suchergebnissen und Vergleichslisten wieder entfernt werden, wenn mindestens sechs Monate vergangen sind, seit der Rote-Hand-Brief von der zuständigen Bundesoberbehörde zur Verfügung gestellt worden ist. Die zuständige Bundesoberbehörde kann im Einzelfall einen von Satz 3 abweichenden Zeitraum festlegen.</w:t>
      </w:r>
    </w:p>
    <w:p>
      <w:r>
        <w:t xml:space="preserve">(4) Alle Rote-Hand-Briefe müssen im elektronischen Programm an geeigneter Stelle fortlaufend archiviert angezeigt werden. Die Anzeige erfolgt</w:t>
      </w:r>
    </w:p>
    <w:p>
      <w:pPr>
        <w:ind w:left="420"/>
      </w:pPr>
      <w:r>
        <w:t xml:space="preserve">1. durch einen Hyperlink zur Internetseite der zuständigen Bundesoberbehörde, auf der der Wortlaut der Rote-Hand-Briefe bereitgestellt wird, oder</w:t>
      </w:r>
    </w:p>
    <w:p>
      <w:pPr>
        <w:ind w:left="420"/>
      </w:pPr>
      <w:r>
        <w:t xml:space="preserve">2. durch eine Dateiliste mit im elektronischen Programm hinterlegten Dokumenten mit dem Wortlaut der Rote-Hand-Briefe im Dateiformat PDF.</w:t>
      </w:r>
    </w:p>
    <w:p>
      <w:r>
        <w:rPr>
          <w:color w:val="555555"/>
          <w:sz w:val="17"/>
        </w:rPr>
        <w:t xml:space="preserve">Zitiervorschlag: § 3 EAMIV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https://recht.nulegal.eu/gesetze/EAMIV/3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