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EAMIV — Mindestanforderungen an die Informationen in elektronischen Programmen</w:t>
      </w:r>
    </w:p>
    <w:p>
      <w:r>
        <w:rPr>
          <w:color w:val="555555"/>
          <w:sz w:val="18"/>
        </w:rPr>
        <w:t xml:space="preserve">Elektronische Arzneimittelinformationen-Verordnung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Die Informationen, die ein elektronisches Programm mindestens enthalten muss, umfassen folgende Angaben aus den Beschlüssen des Gemeinsamen Bundesausschusses:</w:t>
      </w:r>
    </w:p>
    <w:p>
      <w:pPr>
        <w:ind w:left="420"/>
      </w:pPr>
      <w:r>
        <w:t xml:space="preserve">1. die Bezeichnung des Arzneimittels;</w:t>
      </w:r>
    </w:p>
    <w:p>
      <w:pPr>
        <w:ind w:left="420"/>
      </w:pPr>
      <w:r>
        <w:t xml:space="preserve">2. den Wirkstoff oder die Wirkstoffe;</w:t>
      </w:r>
    </w:p>
    <w:p>
      <w:pPr>
        <w:ind w:left="420"/>
      </w:pPr>
      <w:r>
        <w:t xml:space="preserve">3. das zugelassene Anwendungsgebiet oder die zugelassenen Anwendungsgebiete;</w:t>
      </w:r>
    </w:p>
    <w:p>
      <w:pPr>
        <w:ind w:left="420"/>
      </w:pPr>
      <w:r>
        <w:t xml:space="preserve">4. die Zuordnung des Wirkstoffs oder der Wirkstoffe zur anatomisch-therapeutisch-chemischen Klassifikation und zu der im datenbankgestützten Informationssystem nach § 67a des Arzneimittelgesetzes hinterlegten Arzneistoffkatalognummer;</w:t>
      </w:r>
    </w:p>
    <w:p>
      <w:pPr>
        <w:ind w:left="420"/>
      </w:pPr>
      <w:r>
        <w:t xml:space="preserve">5. die Patientengruppe oder die Patientengruppen, für die eine Aussage zum Zusatznutzen des Arzneimittels getroffen wird;</w:t>
      </w:r>
    </w:p>
    <w:p>
      <w:pPr>
        <w:ind w:left="420"/>
      </w:pPr>
      <w:r>
        <w:t xml:space="preserve">6. die Zuordnung zum Krankheitsgebiet gemäß der Internationalen Klassifikation der Krankheiten sowie zur Alpha-ID-Identifikationsnummer in der jeweils vom Bundesinstitut für Arzneimittel und Medizinprodukte im Auftrag des Bundesministeriums für Gesundheit herausgegebenen deutschen Fassung;</w:t>
      </w:r>
    </w:p>
    <w:p>
      <w:pPr>
        <w:ind w:left="420"/>
      </w:pPr>
      <w:r>
        <w:t xml:space="preserve">7. das Ausmaß des Zusatznutzens mit Angabe zur Aussagesicherheit und den vom Gemeinsamen Bundesausschuss zu Grunde gelegten zweckmäßigen Vergleichstherapien;</w:t>
      </w:r>
    </w:p>
    <w:p>
      <w:pPr>
        <w:ind w:left="420"/>
      </w:pPr>
      <w:r>
        <w:t xml:space="preserve">8. die zusammenfassende Darstellung der klinischen Ergebnisse der für den Zusatznutzen relevanten klinischen Endpunkte;</w:t>
      </w:r>
    </w:p>
    <w:p>
      <w:pPr>
        <w:ind w:left="420"/>
      </w:pPr>
      <w:r>
        <w:t xml:space="preserve">9. die Angaben zu Anforderungen an die qualitätsgesicherte Anwendung;</w:t>
      </w:r>
    </w:p>
    <w:p>
      <w:pPr>
        <w:ind w:left="420"/>
      </w:pPr>
      <w:r>
        <w:t xml:space="preserve">10. die Angabe, ob für das Arzneimittel vom Gemeinsamen Bundesausschuss die Durchführung einer anwendungsbegleitenden Datenerhebung nach § 35a Absatz 3b des Fünften Buches Sozialgesetzbuch gefordert worden ist sowie ob die Befugnis zur Verordnung des Arzneimittels auf solche Leistungserbringer beschränkt worden ist, die an der Datenerhebung mitwirken;</w:t>
      </w:r>
    </w:p>
    <w:p>
      <w:pPr>
        <w:ind w:left="420"/>
      </w:pPr>
      <w:r>
        <w:t xml:space="preserve">11. Datum und Geltungsdauer des Beschlusses des Gemeinsamen Bundesausschusses;</w:t>
      </w:r>
    </w:p>
    <w:p>
      <w:pPr>
        <w:ind w:left="420"/>
      </w:pPr>
      <w:r>
        <w:t xml:space="preserve">12. die Zusammenfassung der tragenden Gründe zum Beschluss des Gemeinsamen Bundesausschusses, jeweils zu den Kategorien Mortalität, Morbidität, Lebensqualität und Nebenwirkungen, sowie zusammenfassend für den Gesamtzusatznutzen je Patientengruppe;</w:t>
      </w:r>
    </w:p>
    <w:p>
      <w:pPr>
        <w:ind w:left="420"/>
      </w:pPr>
      <w:r>
        <w:t xml:space="preserve">13. die Angabe, ob es sich um ein Arzneimittel zur Behandlung eines seltenen Leidens nach der Verordnung (EG) Nr. 141/2000 des Europäischen Parlaments und des Rates vom 16. Dezember 1999 über Arzneimittel für seltene Leiden (ABl. L 18 vom 22.1.2000, S. 1) oder um ein Arzneimittel mit einer Genehmigung nach Artikel 14 Absatz 7 oder 8 der Verordnung (EG) Nr. 726/2004 des Europäischen Parlaments und des Rates vom 31. März 2004 zur Festlegung von Gemeinschaftsverfahren für die Genehmigung und Überwachung von Human- und Tierarzneimitteln und zur Errichtung einer Europäischen Arzneimittel-Agentur (ABl. L 136 vom 30.4.2004, S. 1) handelt;</w:t>
      </w:r>
    </w:p>
    <w:p>
      <w:pPr>
        <w:ind w:left="420"/>
      </w:pPr>
      <w:r>
        <w:t xml:space="preserve">14. die Angabe, ob das Arzneimittel Gegenstand der Richtlinie nach § 92 Absatz 1 Satz 2 Nummer 6 des Fünften Buches Sozialgesetzbuch zur Anwendung von Arzneimitteln für neuartige Therapien im Sinne von § 4 Absatz 9 des Arzneimittelgesetzes ist;</w:t>
      </w:r>
    </w:p>
    <w:p>
      <w:pPr>
        <w:ind w:left="420"/>
      </w:pPr>
      <w:r>
        <w:t xml:space="preserve">15. den Hyperlink zur Internet-Seite des Gemeinsamen Bundesausschusses, auf der die Informationen zu dem betreffenden Arzneimittel bereitgestellt werden.</w:t>
      </w:r>
    </w:p>
    <w:p>
      <w:r>
        <w:t xml:space="preserve">Das elektronische Programm muss gemäß § 73 Absatz 9 Satz 1 Nummer 6 des Fünften Buches Sozialgesetzbuch ferner das genehmigte Schulungsmaterial und die Rote-Hand-Briefe enthalten.</w:t>
      </w:r>
    </w:p>
    <w:p>
      <w:r>
        <w:t xml:space="preserve">(2) Die Informationen sind in regelmäßigen Abständen, mindestens jedoch zweimal monatlich, auf ihre Aktualität zu überprüfen und im Falle etwaiger Änderungen zu aktualisieren.</w:t>
      </w:r>
    </w:p>
    <w:p>
      <w:r>
        <w:rPr>
          <w:color w:val="555555"/>
          <w:sz w:val="17"/>
        </w:rPr>
        <w:t xml:space="preserve">Zitiervorschlag: § 2 EAMIV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https://recht.nulegal.eu/gesetze/EAMIV/2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