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EAMIV — Begriffsbestimmungen</w:t>
      </w:r>
    </w:p>
    <w:p>
      <w:r>
        <w:rPr>
          <w:color w:val="555555"/>
          <w:sz w:val="18"/>
        </w:rPr>
        <w:t xml:space="preserve">Elektronische Arzneimittelinformationen-Verordnung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Ein elektronisches Programm im Sinne dieser Verordnung ist ein elektronisches Programm, das von der Kassenärztlichen Bundesvereinigung gemäß § 73 Absatz 9 Satz 1 des Fünften Buches Sozialgesetzbuch für die Verordnung von Arzneimitteln in der vertragsärztlichen Versorgung zugelassen wird.</w:t>
      </w:r>
    </w:p>
    <w:p>
      <w:r>
        <w:t xml:space="preserve">(2) Ein Beschluss des Gemeinsamen Bundesausschusses im Sinne dieser Verordnung ist ein Beschluss des Gemeinsamen Bundesausschusses über die Bewertung des Nutzens von Arzneimitteln mit neuen Wirkstoffen nach § 35a Absatz 3 Satz 1 des Fünften Buches Sozialgesetzbuch, einschließlich der tragenden Gründe zum Beschluss.</w:t>
      </w:r>
    </w:p>
    <w:p>
      <w:r>
        <w:t xml:space="preserve">(3) Genehmigtes Schulungsmaterial im Sinne dieser Verordnung ist das Schulungsmaterial, das nach § 34 Absatz 1f Satz 2 in Verbindung mit Satz 1 des Arzneimittelgesetzes von der zuständigen Bundesoberbehörde zur Verfügung gestellt wird, in der Fassung, die gemäß § 34 Absatz 1f Satz 2 des Arzneimittelgesetzes zur Abbildung im elektronischen Programm geeignet ist.</w:t>
      </w:r>
    </w:p>
    <w:p>
      <w:r>
        <w:t xml:space="preserve">(4) Rote-Hand-Briefe im Sinne dieser Verordnung sind diejenigen Informationen über Arzneimittelrisiken, die nach § 34 Absatz 1h Satz 3 in Verbindung mit Satz 1 und 2 des Arzneimittelgesetzes, auch in Verbindung mit § 39 Absatz 2e des Arzneimittelgesetzes oder § 39d Absatz 6 des Arzneimittelgesetzes, von der zuständigen Bundesoberbehörde zur Verfügung gestellt werden, in der Fassung, die gemäß § 34 Absatz 1h Satz 3 des Arzneimittelgesetzes zur Abbildung im elektronischen Programm geeignet ist.</w:t>
      </w:r>
    </w:p>
    <w:p>
      <w:r>
        <w:rPr>
          <w:color w:val="555555"/>
          <w:sz w:val="17"/>
        </w:rPr>
        <w:t xml:space="preserve">Zitiervorschlag: § 1 EAMIV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https://recht.nulegal.eu/gesetze/EAMIV/1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