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13 EALG — Inkrafttreten</w:t>
      </w:r>
    </w:p>
    <w:p>
      <w:r>
        <w:rPr>
          <w:color w:val="555555"/>
          <w:sz w:val="18"/>
        </w:rPr>
        <w:t xml:space="preserve">Entschädigungs- und Ausgleichsleistungsgesetz</w:t>
      </w:r>
    </w:p>
    <w:p>
      <w:r>
        <w:rPr>
          <w:color w:val="555555"/>
          <w:sz w:val="18"/>
        </w:rPr>
        <w:t xml:space="preserve">Stand: 10.06.2019 (konsolidierte Textfassung, kein amtliches Inkrafttretensdatum)</w:t>
      </w:r>
    </w:p>
    <w:p>
      <w:r>
        <w:t xml:space="preserve">Artikel 9 tritt mit Wirkung vom 1. Januar 1994 in Kraft. Artikel 10 Nr. 10 und Artikel 12 treten am Tage nach der Verkündung in Kraft. Im übrigen tritt dieses Gesetz am ersten Tage des auf die Verkündung folgenden dritten Kalendermonats in Kraft.</w:t>
      </w:r>
    </w:p>
    <w:p>
      <w:r>
        <w:rPr>
          <w:color w:val="555555"/>
          <w:sz w:val="17"/>
        </w:rPr>
        <w:t xml:space="preserve">Zitiervorschlag: Art 13 EALG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https://recht.nulegal.eu/gesetze/EALG/13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