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EAKAV</w:t>
      </w:r>
    </w:p>
    <w:p>
      <w:r>
        <w:rPr>
          <w:color w:val="555555"/>
          <w:sz w:val="18"/>
        </w:rPr>
        <w:t xml:space="preserve">Verordnung zum elektronischen Anzeigeverfahren für inländische Investmentvermögen und EU-Investmentvermögen nach dem 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312 Absatz 8 Satz 1 und des § 331 Absatz 2 Satz 2 des Kapitalanlagegesetzbuches vom 4. Juli 2013 (BGBl. I S. 1981) in Verbindung mit § 1 Nummer 3a der Verordnung zur Übertragung von Befugnissen zum Erlass von Rechtsverordnungen auf die Bundesanstalt für Finanzdienstleistungsaufsicht, die zuletzt durch Artikel 1 der Verordnung vom 11. Juli 2013 (BGBl. I S. 2231) geändert worden ist, verordnet die Bundesanstalt für Finanzdienstleistungsaufsicht:</w:t>
      </w:r>
    </w:p>
    <w:p>
      <w:r>
        <w:rPr>
          <w:color w:val="555555"/>
          <w:sz w:val="17"/>
        </w:rPr>
        <w:t xml:space="preserve">Zitiervorschlag: Eingangsformel EAKAV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