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EAKAV — Übertragungsformate</w:t>
      </w:r>
    </w:p>
    <w:p>
      <w:r>
        <w:rPr>
          <w:color w:val="555555"/>
          <w:sz w:val="18"/>
        </w:rPr>
        <w:t xml:space="preserve">Verordnung zum elektronischen Anzeigeverfahren für inländische Investmentvermögen und EU-Investmentvermögen nach dem 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Anzeigeschreiben und die weiteren Unterlagen sind ausschließlich in den Dateiformaten PDF, DOC oder DOCX zu übermitteln.</w:t>
      </w:r>
    </w:p>
    <w:p>
      <w:r>
        <w:t xml:space="preserve">(2) Die im Rahmen einer Anzeige zu übermittelnden Dateien sind vom Anzeigepflichtigen vor der Übermittlung zweifach als ZIP-Datei zu verpacken. Weder das innere noch das äußere ZIP-Paket darf mit einem Passwort versehen werden.</w:t>
      </w:r>
    </w:p>
    <w:p>
      <w:r>
        <w:t xml:space="preserve">(3) Die Übermittlung mehrerer Anzeigen in einer ZIP-Datei ist nicht zulässig.</w:t>
      </w:r>
    </w:p>
    <w:p>
      <w:r>
        <w:rPr>
          <w:color w:val="555555"/>
          <w:sz w:val="17"/>
        </w:rPr>
        <w:t xml:space="preserve">Zitiervorschlag: § 4 EAKAV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https://recht.nulegal.eu/gesetze/EAKAV/4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