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EAKAV — Einzelanzeigen und Möglichkeit der Zusammenfassung von Anzeigen; Vollmacht</w:t>
      </w:r>
    </w:p>
    <w:p>
      <w:r>
        <w:rPr>
          <w:color w:val="555555"/>
          <w:sz w:val="18"/>
        </w:rPr>
        <w:t xml:space="preserve">Verordnung zum elektronischen Anzeigeverfahren für inländische Investmentvermögen und EU-Investmentvermögen nach dem 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Anzeigen nach § 312 Absatz 1 und § 331 Absatz 1 des Kapitalanlagegesetzbuches sind für jedes Investmentvermögen einzeln vorzunehmen.</w:t>
      </w:r>
    </w:p>
    <w:p>
      <w:r>
        <w:t xml:space="preserve">(2) Abweichend von Absatz 1 kann die Anzeige für mehrere Teilinvestmentvermögen einer Umbrella-Konstruktion durch ein einziges Anzeigeschreiben erfolgen.</w:t>
      </w:r>
    </w:p>
    <w:p>
      <w:r>
        <w:t xml:space="preserve">(3) Wird die Anzeige durch eine bevollmächtigte Person vorgenommen, ist der Anzeige eine gültige Vollmacht beizufügen.</w:t>
      </w:r>
    </w:p>
    <w:p>
      <w:r>
        <w:rPr>
          <w:color w:val="555555"/>
          <w:sz w:val="17"/>
        </w:rPr>
        <w:t xml:space="preserve">Zitiervorschlag: § 2 EAKAV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https://recht.nulegal.eu/gesetze/EAKAV/2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