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EAG-BehandV — Anforderungen an die Behandlung von radioaktiven Bauteilen</w:t>
      </w:r>
    </w:p>
    <w:p>
      <w:r>
        <w:rPr>
          <w:color w:val="555555"/>
          <w:sz w:val="18"/>
        </w:rPr>
        <w:t xml:space="preserve">Elektro- und Elektronik-Altgeräte-Behandlungsverordnung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Bauteile aus Konsumgütern, die radioaktive Stoffe enthalten und</w:t>
      </w:r>
    </w:p>
    <w:p>
      <w:pPr>
        <w:ind w:left="420"/>
      </w:pPr>
      <w:r>
        <w:t xml:space="preserve">1. die unter einer Genehmigung nach § 40 Absatz 1 des Strahlenschutzgesetzes hergestellt oder nach § 42 des Strahlenschutzgesetzes verbracht wurden und</w:t>
      </w:r>
    </w:p>
    <w:p>
      <w:pPr>
        <w:ind w:left="420"/>
      </w:pPr>
      <w:r>
        <w:t xml:space="preserve">2. für die kein Rücknahmekonzept nach § 41 Absatz 1 Nummer 3 des Strahlenschutzgesetzes und entsprechend § 43 des Strahlenschutzgesetzes erforderlich ist,</w:t>
      </w:r>
    </w:p>
    <w:p>
      <w:r>
        <w:t xml:space="preserve">dürfen ohne weitere selektive Behandlung gemäß § 15 Absatz 2 des Kreislaufwirtschaftsgesetzes beseitigt oder verwertet werden.</w:t>
      </w:r>
    </w:p>
    <w:p>
      <w:r>
        <w:t xml:space="preserve">(2) Bauteile nach Absatz 1, für die ein Rücknahmekonzept nach § 41 Absatz 1 Nummer 3 des Strahlenschutzgesetzes und nach § 43 des Strahlenschutzgesetzes gefordert ist, sind vom Letztverbraucher nach § 44 Satz 2 des Strahlenschutzgesetzes an die in der Information nach § 41 Absatz 1 Nummer 5 des Strahlenschutzgesetzes angegebene Stelle zurückzugeben.</w:t>
      </w:r>
    </w:p>
    <w:p>
      <w:r>
        <w:t xml:space="preserve">(3) Alle übrigen Bauteile, die radioaktive Stoffe enthalten, sind nach Maßgabe des Strahlenschutzgesetzes und der auf dessen Grundlage erlassenen Rechtsverordnungen zu entsorgen.</w:t>
      </w:r>
    </w:p>
    <w:p>
      <w:r>
        <w:rPr>
          <w:color w:val="555555"/>
          <w:sz w:val="17"/>
        </w:rPr>
        <w:t xml:space="preserve">Zitiervorschlag: § 5 EAG-BehandV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https://recht.nulegal.eu/gesetze/EAG-BehandV/5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