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EAG-BehandV — Allgemeine Anforderungen an die weitere Behandlung von entfernten Stoffen, Gemischen und Bauteilen</w:t>
      </w:r>
    </w:p>
    <w:p>
      <w:r>
        <w:rPr>
          <w:color w:val="555555"/>
          <w:sz w:val="18"/>
        </w:rPr>
        <w:t xml:space="preserve">Elektro- und Elektronik-Altgeräte-Behandlungsverordnung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Die nach § 3 entfernten Bauteile, Gemische und Stoffe sind der Vorbereitung zur Wiederverwendung zuzuführen oder zu recyceln.</w:t>
      </w:r>
    </w:p>
    <w:p>
      <w:r>
        <w:t xml:space="preserve">(2) Wenn eine Behandlung nach Absatz 1 nicht möglich oder zulässig ist, sind die entfernten Bauteile, Gemische oder Stoffe in sonstiger Weise zu verwerten oder zu beseitigen, sofern diese Verordnung, Kapitel VIII der Verordnung (EU) 2023/1542 in der Fassung vom 12. Juli 2023, das Batterierecht-Durchführungsgesetz vom 30. September 2025 (BGBl. 2025 I Nr. 233) in der jeweils geltenden Fassung oder andere Rechtsvorschriften keine anderslautenden Anforderungen an die selektive Behandlung von diesen Bauteilen, Gemischen oder Stoffen stellen.</w:t>
      </w:r>
    </w:p>
    <w:p>
      <w:r>
        <w:rPr>
          <w:color w:val="555555"/>
          <w:sz w:val="17"/>
        </w:rPr>
        <w:t xml:space="preserve">Zitiervorschlag: § 4 EAG-BehandV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https://recht.nulegal.eu/gesetze/EAG-BehandV/4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