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EAG-BehandV — Begriffsbestimmungen</w:t>
      </w:r>
    </w:p>
    <w:p>
      <w:r>
        <w:rPr>
          <w:color w:val="555555"/>
          <w:sz w:val="18"/>
        </w:rPr>
        <w:t xml:space="preserve">Elektro- und Elektronik-Altgeräte-Behandlungsverordnung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Mechanische Zerkleinerung ist die Zerkleinerung von Feststoffen unter mechanischer Einwirkung in oder mit Hilfe von Maschinen auf eine Korngröße von höchstens 900 Millimetern.</w:t>
      </w:r>
    </w:p>
    <w:p>
      <w:r>
        <w:t xml:space="preserve">(2) Feinste nichtmetallische Restfraktion ist die leichteste Behandlungsfraktion, die nicht aus der Stauberfassung stammt und deren Metallanteil unter zehn Prozent liegt.</w:t>
      </w:r>
    </w:p>
    <w:p>
      <w:r>
        <w:rPr>
          <w:color w:val="555555"/>
          <w:sz w:val="17"/>
        </w:rPr>
        <w:t xml:space="preserve">Zitiervorschlag: § 2 EAG-BehandV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https://recht.nulegal.eu/gesetze/EAG-BehandV/2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