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EAG-BehandV — Inkrafttreten</w:t>
      </w:r>
    </w:p>
    <w:p>
      <w:r>
        <w:rPr>
          <w:color w:val="555555"/>
          <w:sz w:val="18"/>
        </w:rPr>
        <w:t xml:space="preserve">Elektro- und Elektronik-Altgeräte-Behandlungsverordnung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Diese Verordnung tritt am 1. Januar 2022 in Kraft.</w:t>
      </w:r>
    </w:p>
    <w:p>
      <w:r>
        <w:rPr>
          <w:color w:val="555555"/>
          <w:sz w:val="17"/>
        </w:rPr>
        <w:t xml:space="preserve">Zitiervorschlag: § 13 EAG-BehandV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https://recht.nulegal.eu/gesetze/EAG-BehandV/13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