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EAG-BehandV — Anwendungsbereich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Diese Verordnung regelt die Anforderungen an die Behandlung von Altgeräten im Sinne des § 3 Nummer 3 des Elektro- und Elektronikgerätegesetzes. Sie gilt für die folgenden Tätigkeiten nach der Übergabe von Altgeräten an eine Erstbehandlungsanlage:</w:t>
      </w:r>
    </w:p>
    <w:p>
      <w:pPr>
        <w:ind w:left="420"/>
      </w:pPr>
      <w:r>
        <w:t xml:space="preserve">1. Entfrachtung von Schadstoffen,</w:t>
      </w:r>
    </w:p>
    <w:p>
      <w:pPr>
        <w:ind w:left="420"/>
      </w:pPr>
      <w:r>
        <w:t xml:space="preserve">2. Separierung von Wertstoffen,</w:t>
      </w:r>
    </w:p>
    <w:p>
      <w:pPr>
        <w:ind w:left="420"/>
      </w:pPr>
      <w:r>
        <w:t xml:space="preserve">3. Demontage,</w:t>
      </w:r>
    </w:p>
    <w:p>
      <w:pPr>
        <w:ind w:left="420"/>
      </w:pPr>
      <w:r>
        <w:t xml:space="preserve">4. Zerkleinern,</w:t>
      </w:r>
    </w:p>
    <w:p>
      <w:pPr>
        <w:ind w:left="420"/>
      </w:pPr>
      <w:r>
        <w:t xml:space="preserve">5. Recycling,</w:t>
      </w:r>
    </w:p>
    <w:p>
      <w:pPr>
        <w:ind w:left="420"/>
      </w:pPr>
      <w:r>
        <w:t xml:space="preserve">6. sonstige Verwertung und</w:t>
      </w:r>
    </w:p>
    <w:p>
      <w:pPr>
        <w:ind w:left="420"/>
      </w:pPr>
      <w:r>
        <w:t xml:space="preserve">7. Vorbereitung zur Beseitigung.</w:t>
      </w:r>
    </w:p>
    <w:p>
      <w:r>
        <w:t xml:space="preserve">(2) Diese Verordnung gilt nicht für die Tätigkeit der Vorbereitung zur Wiederverwendung ganzer Altgeräte.</w:t>
      </w:r>
    </w:p>
    <w:p>
      <w:r>
        <w:t xml:space="preserve">(3) Rechtsvorschriften, die besondere Anforderungen an die Bewirtschaftung von Altgeräten oder an aus diesen Altgeräten entfernte Bauteile, Gemische und Stoffe enthalten, bleiben unberührt.</w:t>
      </w:r>
    </w:p>
    <w:p>
      <w:r>
        <w:t xml:space="preserve">(4) Die Vorschriften des Arbeitsschutz- und des Chemikaliengesetzes sowie der nach diesen erlassenen Rechtsverordnungen, insbesondere der Gefahrstoffverordnung und der Betriebssicherheitsverordnung, bleiben unberührt.</w:t>
      </w:r>
    </w:p>
    <w:p>
      <w:r>
        <w:rPr>
          <w:color w:val="555555"/>
          <w:sz w:val="17"/>
        </w:rPr>
        <w:t xml:space="preserve">Zitiervorschlag: § 1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