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EAEG — Entschädigungseinrichtung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Kreditanstalt für Wiederaufbau wird eine Entschädigungseinrichtung als nicht rechtsfähiges Sondervermögen des Bundes errichtet, der die Institute gemäß § 1 Absatz 1 zugeordnet sind. Die Entschädigungseinrichtung kann im Rechtsverkehr handeln, klagen oder verklagt werden.</w:t>
      </w:r>
    </w:p>
    <w:p>
      <w:r>
        <w:t xml:space="preserve">(2) Die Entschädigungseinrichtung hat die Aufgabe, die Beiträge der ihr zugeordneten Institute einzuziehen, die Mittel nach Maßgabe des § 8 Absatz 1 anzulegen und im Entschädigungsfall die Gläubiger eines ihr zugeordneten Instituts für nicht erfüllte Verbindlichkeiten aus Wertpapiergeschäften zu entschädigen.</w:t>
      </w:r>
    </w:p>
    <w:p>
      <w:r>
        <w:t xml:space="preserve">(3) Die Kreditanstalt für Wiederaufbau verwaltet die Entschädigungseinrichtung. Sie unterliegt insoweit der Aufsicht durch die Bundesanstalt. § 7 Absatz 3 Satz 2 bis 4 gilt entsprechend. Für die Verwaltung erhält sie eine angemessene Vergütung aus dem Sondervermögen.</w:t>
      </w:r>
    </w:p>
    <w:p>
      <w:r>
        <w:t xml:space="preserve">(4) Über den Widerspruch gegen Verwaltungsakte der Entschädigungseinrichtung entscheidet die Bundesanstalt.</w:t>
      </w:r>
    </w:p>
    <w:p>
      <w:r>
        <w:t xml:space="preserve">(5) Die Entschädigungseinrichtung hat in regelmäßigen Abständen ihre Systeme im Hinblick auf ihre Funktionstüchtigkeit zu überprüfen. Sie hat die Bundesanstalt über die Ergebnisse der Prüfungen zu unterrichten.</w:t>
      </w:r>
    </w:p>
    <w:p>
      <w:r>
        <w:t xml:space="preserve">(6) Sofern die Bundesanstalt Kenntnis über Umstände bei einem Institut erlangt, welche voraussichtlich den Eintritt eines Entschädigungsfalls nach sich ziehen, hat sie die Entschädigungseinrichtung hiervon zu unterrichten.</w:t>
      </w:r>
    </w:p>
    <w:p>
      <w:r>
        <w:rPr>
          <w:color w:val="555555"/>
          <w:sz w:val="17"/>
        </w:rPr>
        <w:t xml:space="preserve">Zitiervorschlag: § 6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