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EAEG — Umfang des Entschädigungsanspruchs</w:t>
      </w:r>
    </w:p>
    <w:p>
      <w:r>
        <w:rPr>
          <w:color w:val="555555"/>
          <w:sz w:val="18"/>
        </w:rPr>
        <w:t xml:space="preserve">Anlegerentschädigungsgesetz</w:t>
      </w:r>
    </w:p>
    <w:p>
      <w:r>
        <w:rPr>
          <w:color w:val="555555"/>
          <w:sz w:val="18"/>
        </w:rPr>
        <w:t xml:space="preserve">Stand: 10.01.2020 (konsolidierte Textfassung, kein amtliches Inkrafttretensdatum)</w:t>
      </w:r>
    </w:p>
    <w:p>
      <w:r>
        <w:t xml:space="preserve">(1) Der Entschädigungsanspruch des Gläubigers des Instituts richtet sich nach der Höhe und dem Umfang der ihm gegenüber bestehenden Verbindlichkeiten aus Wertpapiergeschäften unter Berücksichtigung etwaiger Aufrechnungs- und Zurückbehaltungsrechte des Instituts. Ein Entschädigungsanspruch besteht nicht, soweit Gelder nicht auf die Währung eines EU-Mitgliedstaates oder auf Euro lauten.</w:t>
      </w:r>
    </w:p>
    <w:p>
      <w:r>
        <w:t xml:space="preserve">(2) Der Entschädigungsanspruch ist der Höhe nach begrenzt auf 90 Prozent der Verbindlichkeiten aus Wertpapiergeschäften und den Gegenwert von 20 000 Euro.</w:t>
      </w:r>
    </w:p>
    <w:p>
      <w:r>
        <w:t xml:space="preserve">(3) Bei der Berechnung der Höhe des Entschädigungsanspruchs ist der Betrag der Gelder und der Marktwert der Finanzinstrumente bei Eintritt des Entschädigungsfalles zugrunde zu legen. Der Entschädigungsanspruch umfasst im Rahmen der Obergrenze nach Absatz 2 auch Ansprüche auf Zinsen. Diese bestehen ab dem Eintritt des Entschädigungsfalles bis zur Rückzahlung der Verbindlichkeiten, längstens bis zur Eröffnung des Insolvenzverfahrens. Der Entschädigungsanspruch mindert sich insoweit, als der durch den Entschädigungsfall eingetretene Vermögensverlust des Gläubigers durch Leistungen Dritter ausgeglichen wird.</w:t>
      </w:r>
    </w:p>
    <w:p>
      <w:r>
        <w:t xml:space="preserve">(4) Die Obergrenze nach Absatz 2 bezieht sich auf die Gesamtforderung des Gläubigers gegen das Institut, unabhängig von der Zahl der Konten, der Währung und dem Ort, an dem die Konten geführt oder die Finanzinstrumente verwahrt werden. Die Entschädigung kann in Euro geleistet werden.</w:t>
      </w:r>
    </w:p>
    <w:p>
      <w:r>
        <w:t xml:space="preserve">(5) Bei Gemeinschaftskonten ist für die Obergrenze nach Absatz 2 der jeweilige Anteil des einzelnen Kontoinhabers maßgeblich. Fehlen besondere Bestimmungen, so werden die Gelder oder die Finanzinstrumente den Kontoinhabern zu gleichen Anteilen zugerechnet.</w:t>
      </w:r>
    </w:p>
    <w:p>
      <w:r>
        <w:t xml:space="preserve">(6) Hat der Gläubiger für Rechnung eines Dritten gehandelt, ist für die Obergrenze nach Absatz 2 auf den Dritten abzustellen.</w:t>
      </w:r>
    </w:p>
    <w:p>
      <w:r>
        <w:rPr>
          <w:color w:val="555555"/>
          <w:sz w:val="17"/>
        </w:rPr>
        <w:t xml:space="preserve">Zitiervorschlag: § 4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