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EAEG — Entschädigungsanspruch</w:t>
      </w:r>
    </w:p>
    <w:p>
      <w:r>
        <w:rPr>
          <w:color w:val="555555"/>
          <w:sz w:val="18"/>
        </w:rPr>
        <w:t xml:space="preserve">Anlegerentschädigungsgesetz</w:t>
      </w:r>
    </w:p>
    <w:p>
      <w:r>
        <w:rPr>
          <w:color w:val="555555"/>
          <w:sz w:val="18"/>
        </w:rPr>
        <w:t xml:space="preserve">Stand: 26.06.2021 (konsolidierte Textfassung, kein amtliches Inkrafttretensdatum)</w:t>
      </w:r>
    </w:p>
    <w:p>
      <w:r>
        <w:t xml:space="preserve">(1) Der Gläubiger eines Instituts hat im Entschädigungsfall gegen die Entschädigungseinrichtung einen Anspruch auf Entschädigung nach Maßgabe des § 4.</w:t>
      </w:r>
    </w:p>
    <w:p>
      <w:r>
        <w:t xml:space="preserve">(2) Keinen Anspruch haben</w:t>
      </w:r>
    </w:p>
    <w:p>
      <w:pPr>
        <w:ind w:left="420"/>
      </w:pPr>
      <w:r>
        <w:t xml:space="preserve">1. CRR-Kreditinstitute im Sinne des § 1 Absatz 3d Satz 1 des Kreditwesengesetzes einschließlich Zweigstellen von Unternehmen mit Sitz im Ausland, denen eine Erlaubnis gemäß § 1 Absatz 1 Satz 2 Nummer 1 und 2 des Kreditwesengesetzes erteilt ist, Wertpapierfirmen im Sinne des Artikels 4 Absatz 1 Nummer 1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L 145 vom 30.4.2004, S. 1) und Finanzinstitute im Sinne des Artikels 4 Absatz 1 Nummer 26 der Verordnung (EU) Nr. 575/2013 des Europäischen Parlaments und des Rates vom 26. Juni 2013 über Aufsichtsanforderungen an Kreditinstitute und Wertpapierfirmen und zur Änderung der Verordnung (EU) Nr. 646/2012 (ABl. L 176 vom 27.6.2013, S. 1) mit Sitz im In- oder Ausland, soweit sie im eigenen Namen und auf eigene Rechnung handeln,</w:t>
      </w:r>
    </w:p>
    <w:p>
      <w:pPr>
        <w:ind w:left="420"/>
      </w:pPr>
      <w:r>
        <w:t xml:space="preserve">2. private und öffentlich-rechtliche Versicherungsunternehmen mit Sitz im In- oder Ausland,</w:t>
      </w:r>
    </w:p>
    <w:p>
      <w:pPr>
        <w:ind w:left="420"/>
      </w:pPr>
      <w:r>
        <w:t xml:space="preserve">3. Verwaltungsgesellschaften im Sinne des § 1 Absatz 14 des Kapitalanlagegesetzbuchs mit Sitz im In- oder Ausland einschließlich der von ihnen verwalteten inländischen, EU- und ausländischen Investmentvermögen im Sinne des § 1 Absatz 1 des Kapitalanlagegesetzbuchs,</w:t>
      </w:r>
    </w:p>
    <w:p>
      <w:pPr>
        <w:ind w:left="420"/>
      </w:pPr>
      <w:r>
        <w:t xml:space="preserve">4. der Bund, ein Land, ein rechtlich unselbständiges Sondervermögen des Bundes oder eines Landes, eine kommunale Gebietskörperschaft, ein anderer Staat oder eine Regionalregierung oder eine örtliche Gebietskörperschaft eines anderen Staates,</w:t>
      </w:r>
    </w:p>
    <w:p>
      <w:pPr>
        <w:ind w:left="420"/>
      </w:pPr>
      <w:r>
        <w:t xml:space="preserve">5. Geschäftsleiter, persönlich haftende Gesellschafter oder Mitglieder von Aufsichtsorganen des Instituts, Personen, die mindestens 5 Prozent des Kapitals des Instituts halten, Prüfer im Sinne des § 28 des Kreditwesengesetzes, des § 77 des Wertpapierinstitutsgesetzes oder des § 38 Absatz 2 des Kapitalanlagegesetzbuchs und Gläubiger, die eine entsprechende Stellung oder Funktion in einem Unternehmen haben, das mit dem Institut einen Konzern im Sinne des § 18 des Aktiengesetzes, ohne dass es auf die Rechtsform ankommt, bildet,</w:t>
      </w:r>
    </w:p>
    <w:p>
      <w:pPr>
        <w:ind w:left="420"/>
      </w:pPr>
      <w:r>
        <w:t xml:space="preserve">6. Ehegatten, Lebenspartner und Verwandte ersten und zweiten Grades der unter Nummer 5 genannten Personen, es sei denn, dass die Gelder oder Finanzinstrumente aus dem eigenen Vermögen der Ehegatten, Lebenspartner oder Verwandten stammen,</w:t>
      </w:r>
    </w:p>
    <w:p>
      <w:pPr>
        <w:ind w:left="420"/>
      </w:pPr>
      <w:r>
        <w:t xml:space="preserve">7. Unternehmen, die mit dem Institut einen Konzern im Sinne des § 18 des Aktiengesetzes, ohne dass es auf die Rechtsform ankommt, bilden,</w:t>
      </w:r>
    </w:p>
    <w:p>
      <w:pPr>
        <w:ind w:left="420"/>
      </w:pPr>
      <w:r>
        <w:t xml:space="preserve">8. Gläubiger, die bei dem Institut Sachverhalte herbeigeführt oder genutzt haben, welche die finanziellen Schwierigkeiten verursacht oder wesentlich zur Verschlechterung der finanziellen Lage des Instituts beigetragen haben; dies sind insbesondere Gläubiger, die auf Grund einzeln ausgehandelter Vereinbarungen hohe Zinsen oder finanzielle Vorteile erhalten haben,</w:t>
      </w:r>
    </w:p>
    <w:p>
      <w:pPr>
        <w:ind w:left="420"/>
      </w:pPr>
      <w:r>
        <w:t xml:space="preserve">9. Unternehmen, die nach den Vorschriften des Dritten Buchs des Handelsgesetzbuchs einen Lagebericht aufzustellen haben oder nur wegen ihrer Einbeziehung in einen Konzernabschluss von dieser Verpflichtung befreit sind, und vergleichbare Unternehmen mit Sitz im Ausland sowie</w:t>
      </w:r>
    </w:p>
    <w:p>
      <w:pPr>
        <w:ind w:left="420"/>
      </w:pPr>
      <w:r>
        <w:t xml:space="preserve">10. Gläubiger, deren Ansprüche gegen das Institut im Zusammenhang mit Geschäften stehen, auf Grund derer Personen in einem Strafverfahren wegen Geldwäsche im Sinne des Artikels 1 der Richtlinie 2005/60/EG des Europäischen Parlaments und des Rates vom 26. Oktober 2005 zur Verhinderung der Nutzung des Finanzsystems zum Zwecke der Geldwäsche und der Terrorismusfinanzierung (ABl. L 309 vom 25.11.2005, S. 15) rechtskräftig verurteilt worden sind.</w:t>
      </w:r>
    </w:p>
    <w:p>
      <w:r>
        <w:t xml:space="preserve">Hat der Gläubiger des Instituts für Rechnung eines Dritten gehandelt und ist das Treuhandverhältnis eindeutig als solches gekennzeichnet, so ist für die Feststellung der Berechtigung des Anspruchs nach Satz 1 auf den Dritten abzustellen.</w:t>
      </w:r>
    </w:p>
    <w:p>
      <w:r>
        <w:t xml:space="preserve">(3) Der Anspruch des Entschädigungsberechtigten gegen die Entschädigungseinrichtung verjährt in fünf Jahren nach Unterrichtung des Entschädigungsberechtigten über den Entschädigungsfall gemäß § 5 Absatz 4 Satz 1.</w:t>
      </w:r>
    </w:p>
    <w:p>
      <w:r>
        <w:t xml:space="preserve">(4) Für Streitigkeiten über den Grund und die Höhe des Entschädigungsanspruchs ist der Zivilrechtsweg gegeben.</w:t>
      </w:r>
    </w:p>
    <w:p>
      <w:r>
        <w:rPr>
          <w:color w:val="555555"/>
          <w:sz w:val="17"/>
        </w:rPr>
        <w:t xml:space="preserve">Zitiervorschlag: § 3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