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EAEG — Anwendungsbestimmung und Übergangsregelung</w:t>
      </w:r>
    </w:p>
    <w:p>
      <w:r>
        <w:rPr>
          <w:color w:val="555555"/>
          <w:sz w:val="18"/>
        </w:rPr>
        <w:t xml:space="preserve">Anlegerentschädigungsgesetz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Bis zum 31. Dezember 2010 können die Entschädigungseinrichtungen und Institute § 5 weiter in der bis zum 29. Juni 2009 geltenden Fassung anwenden.</w:t>
      </w:r>
    </w:p>
    <w:p>
      <w:r>
        <w:t xml:space="preserve">(2) Institute, die vor dem 30. Juni 2009 aus einer Entschädigungseinrichtung ausgeschieden sind, können nicht mehr für die Abwicklung von Entschädigungsfällen bei dieser Entschädigungseinrichtung herangezogen werden.</w:t>
      </w:r>
    </w:p>
    <w:p>
      <w:r>
        <w:t xml:space="preserve">(3) Für Entschädigungsfälle, die vor dem 30. Juni 2009 festgestellt worden sind und bei denen das Entschädigungsverfahren noch nicht abgeschlossen ist, ist § 8 Abs. 3 bis 10 in der ab dem 30. Juni 2009 geltenden Fassung mit folgenden Maßgaben anzuwenden:</w:t>
      </w:r>
    </w:p>
    <w:p>
      <w:pPr>
        <w:ind w:left="420"/>
      </w:pPr>
      <w:r>
        <w:t xml:space="preserve">1. An die Stelle der Unterrichtung durch die Bundesanstalt nach § 8 Abs. 3 Satz 1 tritt der 30. Juni 2009.</w:t>
      </w:r>
    </w:p>
    <w:p>
      <w:pPr>
        <w:ind w:left="420"/>
      </w:pPr>
      <w:r>
        <w:t xml:space="preserve">2. Hat die Entschädigungseinrichtung zur Deckung des Mittelbedarfs bereits vor dem 30. Juni 2009 einen Kredit aufgenommen, entfällt die Verpflichtung zur Erhebung von Sonderbeiträgen nach § 8 Abs. 3 Satz 1, soweit der Mittelbedarf durch den Kredit gedeckt wird.</w:t>
      </w:r>
    </w:p>
    <w:p>
      <w:r>
        <w:t xml:space="preserve">(4) Kapitalanlagegesellschaften, die am 29. Juni 2009 eine Erlaubnis zum Erbringen der individuellen Vermögensverwaltung nach § 7 Abs. 2 Nr. 1 des Investmentgesetzes haben und von dieser Erlaubnis länger als ein Jahr keinen Gebrauch gemacht haben, gelten bis zum 29. September 2009 nicht als Institute im Sinne des § 1 Abs. 1 Nr. 4.</w:t>
      </w:r>
    </w:p>
    <w:p>
      <w:r>
        <w:t xml:space="preserve">(5) Wertpapiergeschäfte im Sinne des § 1 Absatz 2 Nummer 1, die sich auf Rechnungseinheiten im Sinne des § 1 Absatz 11 Nummer 7 des Kreditwesengesetzes beziehen und die vor dem 1. Januar 2020 abgeschlossen worden sind, gelten als Wertpapiergeschäfte im Sinne dieses Gesetzes.</w:t>
      </w:r>
    </w:p>
    <w:p>
      <w:r>
        <w:rPr>
          <w:color w:val="555555"/>
          <w:sz w:val="17"/>
        </w:rPr>
        <w:t xml:space="preserve">Zitiervorschlag: § 18 EAEG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https://recht.nulegal.eu/gesetze/EAEG/18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