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EAEG — Zeitlicher Anwendungsbereich</w:t>
      </w:r>
    </w:p>
    <w:p>
      <w:r>
        <w:rPr>
          <w:color w:val="555555"/>
          <w:sz w:val="18"/>
        </w:rPr>
        <w:t xml:space="preserve">Anlegerentschädigungsgesetz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Anspruch auf Entschädigung nach diesem Gesetz besteht für einen Entschädigungsfall wegen Nichterfüllung von Verbindlichkeiten aus Wertpapiergeschäften nur, wenn dieser Entschädigungsfall nach dem 25. September 1998 eingetreten ist.</w:t>
      </w:r>
    </w:p>
    <w:p>
      <w:r>
        <w:t xml:space="preserve">(2) Ansprüche auf Entschädigung nach diesem Gesetz können erstmals ab dem 1. November 1998 angemeldet werden. Sofern die Unterrichtung gemäß § 5 Absatz 4 vorher erfolgt ist, beginnt die Anmeldefrist gemäß § 5 Absatz 5 erst ab dem 1. November 1998.</w:t>
      </w:r>
    </w:p>
    <w:p>
      <w:r>
        <w:rPr>
          <w:color w:val="555555"/>
          <w:sz w:val="17"/>
        </w:rPr>
        <w:t xml:space="preserve">Zitiervorschlag: § 17 EAEG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https://recht.nulegal.eu/gesetze/EAEG/17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