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EAEG — Verschwiegenheitspflicht</w:t>
      </w:r>
    </w:p>
    <w:p>
      <w:r>
        <w:rPr>
          <w:color w:val="555555"/>
          <w:sz w:val="18"/>
        </w:rPr>
        <w:t xml:space="preserve">Anlegerentschädigungsgesetz</w:t>
      </w:r>
    </w:p>
    <w:p>
      <w:r>
        <w:rPr>
          <w:color w:val="555555"/>
          <w:sz w:val="18"/>
        </w:rPr>
        <w:t xml:space="preserve">Stand: 10.06.2019 (konsolidierte Textfassung, kein amtliches Inkrafttretensdatum)</w:t>
      </w:r>
    </w:p>
    <w:p>
      <w:r>
        <w:t xml:space="preserve">Personen, die bei der Entschädigungseinrichtung beschäftigt oder für sie tätig sind, dürfen fremde Geheimnisse, insbesondere Betriebs- oder Geschäftsgeheimnisse, nicht unbefugt offenbaren oder verwerten. Sie sind nach dem Verpflichtungsgesetz vom 2. März 1974 (BGBl. I S. 469, 547), das durch § 1 Nummer 4 des Gesetzes vom 15. August 1974 (BGBl. I S. 1942) geändert worden ist, von der Bundesanstalt auf eine gewissenhafte Erfüllung ihrer Obliegenheiten zu verpflichten. Ein unbefugtes Offenbaren oder Verwerten fremder Geheimnisse liegt insbesondere nicht vor, wenn Tatsachen an die Bundesanstalt oder die Deutsche Bundesbank weitergegeben werden.</w:t>
      </w:r>
    </w:p>
    <w:p>
      <w:r>
        <w:rPr>
          <w:color w:val="555555"/>
          <w:sz w:val="17"/>
        </w:rPr>
        <w:t xml:space="preserve">Zitiervorschlag: § 13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