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EAEG — Ausschluss aus der Entschädigungseinrichtung</w:t>
      </w:r>
    </w:p>
    <w:p>
      <w:r>
        <w:rPr>
          <w:color w:val="555555"/>
          <w:sz w:val="18"/>
        </w:rPr>
        <w:t xml:space="preserve">Anlegerentschädigungsgesetz</w:t>
      </w:r>
    </w:p>
    <w:p>
      <w:r>
        <w:rPr>
          <w:color w:val="555555"/>
          <w:sz w:val="18"/>
        </w:rPr>
        <w:t xml:space="preserve">Stand: 10.06.2019 (konsolidierte Textfassung, kein amtliches Inkrafttretensdatum)</w:t>
      </w:r>
    </w:p>
    <w:p>
      <w:r>
        <w:t xml:space="preserve">(1) Erfüllt ein Institut die Beitrags- oder Mitwirkungspflichten nach § 8 oder § 9 nicht, nicht richtig, nicht vollständig oder nicht rechtzeitig, so hat die Entschädigungseinrichtung die Bundesanstalt und die Deutsche Bundesbank zu unterrichten. Erfüllt das Institut auch innerhalb eines Monats nach Aufforderung durch die Bundesanstalt seine Verpflichtungen nicht, kann die Entschädigungseinrichtung dem Institut mit einer Frist von zwölf Monaten den Ausschluss aus der Entschädigungseinrichtung ankündigen. Erfüllt das Institut die Verpflichtungen auch weiterhin nicht, kann die Entschädigungseinrichtung mit Zustimmung der Bundesanstalt nach Ablauf dieser Frist das Institut von der Entschädigungseinrichtung ausschließen. Nach dem Ausschluss haftet die Entschädigungseinrichtung nur noch für Verbindlichkeiten des Instituts, die vor Ablauf dieser Frist begründet wurden.</w:t>
      </w:r>
    </w:p>
    <w:p>
      <w:r>
        <w:t xml:space="preserve">(2) Fällt die Erlaubnis zum Betreiben von Wertpapiergeschäften gemäß § 1 Absatz 2 weg, haftet die Entschädigungseinrichtung nur noch für Verbindlichkeiten des Instituts, die vor dem Wegfall begründet wurden.</w:t>
      </w:r>
    </w:p>
    <w:p>
      <w:r>
        <w:rPr>
          <w:color w:val="555555"/>
          <w:sz w:val="17"/>
        </w:rPr>
        <w:t xml:space="preserve">Zitiervorschlag: § 11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