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EAAV — Inkrafttreten</w:t>
      </w:r>
    </w:p>
    <w:p>
      <w:r>
        <w:rPr>
          <w:color w:val="555555"/>
          <w:sz w:val="18"/>
        </w:rPr>
        <w:t xml:space="preserve">Energieanlagen-Anforderungen-Verordnung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EAAV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