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EAAV — Verhältnis zu anderen Rechtsvorschriften</w:t>
      </w:r>
    </w:p>
    <w:p>
      <w:r>
        <w:rPr>
          <w:color w:val="555555"/>
          <w:sz w:val="18"/>
        </w:rPr>
        <w:t xml:space="preserve">Energieanlagen-Anforderungen-Verordnung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§ 49 des Energiewirtschaftsgesetzes bleibt unberührt.</w:t>
      </w:r>
    </w:p>
    <w:p>
      <w:r>
        <w:t xml:space="preserve">(2) Die Bestimmungen der Elektrotechnische-Eigenschaften-Nachweis-Verordnung vom 12. Juni 2017 (BGBl. I S. 1651), die zuletzt durch Artikel 1 der Verordnung vom 16. Mai 2024 (BGBl. 2024 I Nr. 158) geändert worden ist, bleiben unberührt.</w:t>
      </w:r>
    </w:p>
    <w:p>
      <w:r>
        <w:rPr>
          <w:color w:val="555555"/>
          <w:sz w:val="17"/>
        </w:rPr>
        <w:t xml:space="preserve">Zitiervorschlag: § 4 EAAV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