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EAAV — Technische Anforderungen an Anlagen</w:t>
      </w:r>
    </w:p>
    <w:p>
      <w:r>
        <w:rPr>
          <w:color w:val="555555"/>
          <w:sz w:val="18"/>
        </w:rPr>
        <w:t xml:space="preserve">Energieanlagen-Anforderungen-Verordnung</w:t>
      </w:r>
    </w:p>
    <w:p>
      <w:r>
        <w:rPr>
          <w:color w:val="555555"/>
          <w:sz w:val="18"/>
        </w:rPr>
        <w:t xml:space="preserve">Stand: 17.05.2024 (konsolidierte Textfassung, kein amtliches Inkrafttretensdatum)</w:t>
      </w:r>
    </w:p>
    <w:p>
      <w:r>
        <w:t xml:space="preserve">(1) Anlagen im Sinne des § 2 mit einer maximalen Einspeiseleistung von 270 Kilowatt, deren Verknüpfungspunkt mit dem Netz der allgemeinen Versorgung in der Mittelspannung oder in einer höheren Spannungsebene liegt, haben zum Zeitpunkt des Netzanschlusses und während der gesamten Betriebsdauer die technischen Regeln des in § 49 Absatz 2 Satz 1 Nummer 1 des Energiewirtschaftsgesetzes vom 7. Juli 2005 (BGBl. I S. 1970, 3621) in der jeweils geltenden Fassung bezeichneten Verbandes für Erzeugungsanlagen mit Anschluss an ein Niederspannungsnetz einzuhalten sowie ergänzend die nachfolgenden Anforderungen zu erfüllen:</w:t>
      </w:r>
    </w:p>
    <w:p>
      <w:pPr>
        <w:ind w:left="420"/>
      </w:pPr>
      <w:r>
        <w:t xml:space="preserve">1. Einhaltung der Einstellwerte für Frequenzvermögen und Frequenzschutz nach den technischen Regeln für Erzeugungsanlagen mit Anschluss an ein Mittelspannungsnetz des in § 49 Absatz 2 Satz 1 Nummer 1 des Energiewirtschaftsgesetzes bezeichneten Verbandes und</w:t>
      </w:r>
    </w:p>
    <w:p>
      <w:pPr>
        <w:ind w:left="420"/>
      </w:pPr>
      <w:r>
        <w:t xml:space="preserve">2. Deaktivierung der Inselnetzerkennung.</w:t>
      </w:r>
    </w:p>
    <w:p>
      <w:r>
        <w:t xml:space="preserve">(2) Für Anlagen nach Absatz 1, die hinter demselben Verknüpfungspunkt mit einem Netz der allgemeinen Versorgung eine kumulierte installierte Leistung von über 270 Kilowatt aufweisen, ist zusätzlich zu den in Absatz 1 genannten Anforderungen zum Zeitpunkt des Netzanschlusses und während der gesamten Betriebsdauer Folgendes anzuwenden:</w:t>
      </w:r>
    </w:p>
    <w:p>
      <w:pPr>
        <w:ind w:left="420"/>
      </w:pPr>
      <w:r>
        <w:t xml:space="preserve">1. es sind übergeordnete Entkupplungsschutzeinrichtungen nach den technischen Regeln des in § 49 Absatz 2 Satz 1 Nummer 1 des Energiewirtschaftsgesetzes bezeichneten Verbandes für Erzeugungsanlagen mit Anschluss an die jeweilige Spannungsebene fachgerecht zu installieren und in Betrieb zu nehmen,</w:t>
      </w:r>
    </w:p>
    <w:p>
      <w:pPr>
        <w:ind w:left="420"/>
      </w:pPr>
      <w:r>
        <w:t xml:space="preserve">2. bei der Überwachung der mit dem Netzbetreiber vertraglich vereinbarten Anschlusswirkleistung für Einspeisung ist für die mit dem Netzbetreiber vereinbarte Anschlusswirkleistung ein Minimalwert von 54 Prozent der installierten Wirkleistung aller hinter demselben Verknüpfungspunkt mit dem Netz der allgemeinen Versorgung betriebenen Erzeugungsanlagen anzuwenden; ein Unterschreiten dieses Wertes ist erlaubt, soweit für die Überwachung der mit dem Netzbetreiber vertraglich vereinbarten Anschlusswirkleistung die technischen Regeln des in § 49 Absatz 2 Satz 1 Nummer 1 des Energiewirtschaftsgesetzes bezeichneten Verbandes für Erzeugungsanlagen mit Anschluss an ein Mittelspannungsnetz eingehalten werden.</w:t>
      </w:r>
    </w:p>
    <w:p>
      <w:r>
        <w:t xml:space="preserve">Anstelle einer übergeordneten Entkupplungsschutzeinrichtung nach Satz 1 Nummer 1 kann auch eine alternative Einrichtung verwendet werden, die in den technischen Regeln für Erzeugungsanlagen des in § 49 Absatz 2 Satz 1 Nummer 1 des Energiewirtschaftsgesetzes bezeichneten Verbandes als der Entkupplungsschutzeinrichtung im Hinblick auf die Schutzfunktion gleichwertig anerkannt ist.</w:t>
      </w:r>
    </w:p>
    <w:p>
      <w:r>
        <w:rPr>
          <w:color w:val="555555"/>
          <w:sz w:val="17"/>
        </w:rPr>
        <w:t xml:space="preserve">Zitiervorschlag: § 3 EAAV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