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EAAV — Zweck und Ziele der Verordnung</w:t>
      </w:r>
    </w:p>
    <w:p>
      <w:r>
        <w:rPr>
          <w:color w:val="555555"/>
          <w:sz w:val="18"/>
        </w:rPr>
        <w:t xml:space="preserve">Energieanlagen-Anforderungen-Verordnung</w:t>
      </w:r>
    </w:p>
    <w:p>
      <w:r>
        <w:rPr>
          <w:color w:val="555555"/>
          <w:sz w:val="18"/>
        </w:rPr>
        <w:t xml:space="preserve">Stand: 17.05.2024 (konsolidierte Textfassung, kein amtliches Inkrafttretensdatum)</w:t>
      </w:r>
    </w:p>
    <w:p>
      <w:r>
        <w:t xml:space="preserve">Diese Verordnung hat die Gewährleistung der technischen Sicherheit und der Systemstabilität der Elektrizitätsversorgungsnetze zum Ziel.</w:t>
      </w:r>
    </w:p>
    <w:p>
      <w:r>
        <w:rPr>
          <w:color w:val="555555"/>
          <w:sz w:val="17"/>
        </w:rPr>
        <w:t xml:space="preserve">Zitiervorschlag: § 1 EAAV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https://recht.nulegal.eu/gesetze/EAAV/1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