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EÜV (Bayern) — Inkrafttreten, Übergangsregelung</w:t>
      </w:r>
    </w:p>
    <w:p>
      <w:r>
        <w:rPr>
          <w:color w:val="555555"/>
          <w:sz w:val="18"/>
        </w:rPr>
        <w:t xml:space="preserve">Eigenüberwachungsverordnung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1996 in Kraft. Gleichzeitig tritt die Verordnung zur Eigenüberwachung von Abwasseranlagen (Abwassereigenüberwachungsverordnung – AbwEV) vom 9. Dezember 1990 (GVBl S. 587, BayRS 753–1–12–U) außer Kraft.</w:t>
      </w:r>
    </w:p>
    <w:p>
      <w:r>
        <w:t xml:space="preserve">(2) Enthalten bei Inkrafttreten dieser Verordnung vorhandene Bescheide Verpflichtungen, die über §§ 2 bis 6 hinausgehen, gelten diese insoweit fort.</w:t>
      </w:r>
    </w:p>
    <w:p>
      <w:r>
        <w:rPr>
          <w:color w:val="555555"/>
          <w:sz w:val="17"/>
        </w:rPr>
        <w:t xml:space="preserve">Zitiervorschlag: § 9 EÜV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https://recht.nulegal.eu/gesetze/E%C3%9CV/9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