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EÜV (Bayern) — Eigenüberwachungspflicht</w:t>
      </w:r>
    </w:p>
    <w:p>
      <w:r>
        <w:rPr>
          <w:color w:val="555555"/>
          <w:sz w:val="18"/>
        </w:rPr>
        <w:t xml:space="preserve">Eigenüberwachungsverordnung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Anlagen nach § 1 Nrn.1 bis 5 betreibt (eigenüberwachungspflichtige Person), hat eine Überwachung durchzuführen, die mindestens den Anforderungen dieser Verordnung genügt.</w:t>
      </w:r>
    </w:p>
    <w:p>
      <w:r>
        <w:t xml:space="preserve">(2) Eigenüberwachungspflichtige können sich zur Erfüllung ihrer Pflichten Dritter bedienen oder ihre Pflichten in Zusammenarbeit mit den Eigenüberwachungspflichtigen benachbarter Anlagen gemeinsam erfüllen. Die Verantwortlichkeit für die Erfüllung der Eigenüberwachungspflicht bleibt hiervon unberührt.</w:t>
      </w:r>
    </w:p>
    <w:p>
      <w:r>
        <w:t xml:space="preserve">(3) Verpflichtungen nach anderen Vorschriften, insbesondere § 19i Abs. 2 Wasserhaushaltsgesetz (WHG), nach der Verordnung über Trinkwasser und über Wasser für Lebensmittelbetriebe (Trinkwasserverordnung), dem kommunalen Satzungsrecht und dem Wasser- und Bodenverbandsrecht, bleiben unberührt.</w:t>
      </w:r>
    </w:p>
    <w:p>
      <w:r>
        <w:rPr>
          <w:color w:val="555555"/>
          <w:sz w:val="17"/>
        </w:rPr>
        <w:t xml:space="preserve">Zitiervorschlag: § 2 EÜV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