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EÜV (Bayern) — Geltungsbereich</w:t>
      </w:r>
    </w:p>
    <w:p>
      <w:r>
        <w:rPr>
          <w:color w:val="555555"/>
          <w:sz w:val="18"/>
        </w:rPr>
        <w:t xml:space="preserve">Eigenüberwachungsverordnung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</w:t>
      </w:r>
    </w:p>
    <w:p>
      <w:r>
        <w:t xml:space="preserve">1. Anlagen zur öffentlichen Trinkwasserversorgung, insbesondere Gewinnung, Förderung, Aufbereitung, Speicherung, Fortleitung und Verteilung, mit einer wasserrechtlich gestatteten Entnahme von mehr als 5000 m 3 im Jahr einschließlich der zugehörigen Wasserschutzgebiete,</w:t>
      </w:r>
    </w:p>
    <w:p>
      <w:r>
        <w:t xml:space="preserve">2. Anlagen zur Gewinnung oder Förderung von Wasser für die Betriebswasserversorgung mit einer Entnahme von mehr als 100 000 m 3 im Jahr,</w:t>
      </w:r>
    </w:p>
    <w:p>
      <w:r>
        <w:t xml:space="preserve">3. Heilquellen einschließlich der zugehörigen Heilquellenschutzgebiete,</w:t>
      </w:r>
    </w:p>
    <w:p>
      <w:r>
        <w:t xml:space="preserve">4. Abwasseranlagen, aus denen Abwasser erlaubnispflichtig in Gewässer oder nach Art. 41c BayWG genehmigungspflichtig in Sammelkanalisationen eingeleitet wird,</w:t>
      </w:r>
    </w:p>
    <w:p>
      <w:r>
        <w:t xml:space="preserve">5. Sammelkanalisationen einschließlich zugehöriger Sonderbauwerke und</w:t>
      </w:r>
    </w:p>
    <w:p>
      <w:r>
        <w:t xml:space="preserve">6. für das von Abwassereinleitungen nach den Nummern 4 und 5 beeinflußte Gewässer.</w:t>
      </w:r>
    </w:p>
    <w:p>
      <w:r>
        <w:rPr>
          <w:color w:val="555555"/>
          <w:sz w:val="17"/>
        </w:rPr>
        <w:t xml:space="preserve">Zitiervorschlag: § 1 EÜV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