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EÜGV — Urlaubskassen</w:t>
      </w:r>
    </w:p>
    <w:p>
      <w:r>
        <w:rPr>
          <w:color w:val="555555"/>
          <w:sz w:val="18"/>
        </w:rPr>
        <w:t xml:space="preserve">Verordnung zum Eignungsübungsgesetz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Beiträge für Urlaubskassen brauchen für die Dauer der Eignungsübung nicht entrichtet zu werden. § 1 Abs. 6 bleibt unberührt.</w:t>
      </w:r>
    </w:p>
    <w:p>
      <w:r>
        <w:rPr>
          <w:color w:val="555555"/>
          <w:sz w:val="17"/>
        </w:rPr>
        <w:t xml:space="preserve">Zitiervorschlag: § 7 EÜGV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https://recht.nulegal.eu/gesetze/E%C3%9CGV/7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