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EÜGV — Urlaub für Beamte und Richter</w:t>
      </w:r>
    </w:p>
    <w:p>
      <w:r>
        <w:rPr>
          <w:color w:val="555555"/>
          <w:sz w:val="18"/>
        </w:rPr>
        <w:t xml:space="preserve">Verordnung zum Eignungsübungsgesetz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Beamte und Richter gelten die §§ 1 bis 3 mit Ausnahme des § 1 Abs. 4 Satz 2 und Abs. 6 sinngemäß.</w:t>
      </w:r>
    </w:p>
    <w:p>
      <w:r>
        <w:rPr>
          <w:color w:val="555555"/>
          <w:sz w:val="17"/>
        </w:rPr>
        <w:t xml:space="preserve">Zitiervorschlag: § 4 EÜGV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