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EÜG — Ausschluß von Nachteilen</w:t>
      </w:r>
    </w:p>
    <w:p>
      <w:r>
        <w:rPr>
          <w:color w:val="555555"/>
          <w:sz w:val="18"/>
        </w:rPr>
        <w:t xml:space="preserve">Eignungsübungsgesetz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der Teilnahme an einer Eignungsübung darf dem Arbeitnehmer in beruflicher und betrieblicher Hinsicht und dem Handelsvertreter in seinen vertraglichen Beziehungen zu dem Unternehmer kein Nachteil erwachsen.</w:t>
      </w:r>
    </w:p>
    <w:p>
      <w:r>
        <w:t xml:space="preserve">(2) Die Bundesregierung regelt durch Rechtsverordnung das Nähere hinsichtlich des Urlaubs, der zusätzlichen Alters- und Hinterbliebenenversorgung, der betrieblichen Pensions- und Urlaubskassen, der Zulagen und sonstigen Rechte, die sich ausschließlich aus der Dauer der Zugehörigkeit zum Beruf, zum Betrieb oder zur Verwaltung oder aus der Dauer des Vertragsverhältnisses ergeben; darin ist zu bestimmen, daß der Bund Beiträge leistet. Der Arbeitgeber kann verpflichtet werden, Beiträge vorab zu entrichten.</w:t>
      </w:r>
    </w:p>
    <w:p>
      <w:r>
        <w:rPr>
          <w:color w:val="555555"/>
          <w:sz w:val="17"/>
        </w:rPr>
        <w:t xml:space="preserve">Zitiervorschlag: § 6 EÜG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