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DuPMedAusbV</w:t>
      </w:r>
    </w:p>
    <w:p>
      <w:r>
        <w:rPr>
          <w:color w:val="555555"/>
          <w:sz w:val="18"/>
        </w:rPr>
        <w:t xml:space="preserve">Digital- und Print-Mediengestalter-Ausbildungsverordnung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4 Absatz 1 des Berufsbildungsgesetzes in der Fassung der Bekanntmachung vom 4. Mai 2020 (BGBl. I S. 920) in Verbindung mit § 1 Absatz 2 des Zuständigkeitsanpassungsgesetzes vom 16. August 2002 (BGBl. I S. 3165) und dem Organisationserlass vom 8. Dezember 2021 (BGBl. I S. 5176) sowie</w:t>
      </w:r>
    </w:p>
    <w:p>
      <w:pPr>
        <w:ind w:left="420"/>
      </w:pPr>
      <w:r>
        <w:t xml:space="preserve">– des § 25 Absatz 1 Satz 1 der Handwerksordnung, der zuletzt durch Artikel 2 Nummer 1 des Gesetzes vom 9. November 2022 (BGBl. I S. 2009) geändert worden ist,</w:t>
      </w:r>
    </w:p>
    <w:p>
      <w:r>
        <w:t xml:space="preserve">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DuPMedAusbV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https://recht.nulegal.eu/gesetze/DuPMedAusbV/eingangsformel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