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DuPMedAusbV — Prüfungsbereiche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Zwischenprüfung findet in den folgenden Prüfungsbereichen statt:</w:t>
      </w:r>
    </w:p>
    <w:p>
      <w:pPr>
        <w:ind w:left="420"/>
      </w:pPr>
      <w:r>
        <w:t xml:space="preserve">1. „Gestaltungsgrundlagen anwenden, Medienproduktionen planen und organisieren“ und</w:t>
      </w:r>
    </w:p>
    <w:p>
      <w:pPr>
        <w:ind w:left="420"/>
      </w:pPr>
      <w:r>
        <w:t xml:space="preserve">2. „Medienprodukte gestalten und realisieren“.</w:t>
      </w:r>
    </w:p>
    <w:p>
      <w:r>
        <w:rPr>
          <w:color w:val="555555"/>
          <w:sz w:val="17"/>
        </w:rPr>
        <w:t xml:space="preserve">Zitiervorschlag: § 8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