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DuPMedAusbV — Inkrafttreten, Außerkrafttreten</w:t>
      </w:r>
    </w:p>
    <w:p>
      <w:r>
        <w:rPr>
          <w:color w:val="555555"/>
          <w:sz w:val="18"/>
        </w:rPr>
        <w:t xml:space="preserve">Digital- und Print-Mediengestalter-Ausbildungsverordnung</w:t>
      </w:r>
    </w:p>
    <w:p>
      <w:r>
        <w:rPr>
          <w:color w:val="555555"/>
          <w:sz w:val="18"/>
        </w:rPr>
        <w:t xml:space="preserve">Stand: 01.08.2023 (konsolidierte Textfassung, kein amtliches Inkrafttretensdatum)</w:t>
      </w:r>
    </w:p>
    <w:p>
      <w:r>
        <w:t xml:space="preserve">Diese Verordnung tritt am 1. August 2023 in Kraft. Gleichzeitig tritt die Verordnung über die Berufsausbildung zum Mediengestalter Digital und Print und zur Mediengestalterin Digital und Print vom 26. April 2013 (BGBl. I S. 1173), die durch Artikel 1 der Verordnung vom 5. Februar 2016 (BGBl. I S. 175) geändert worden ist, außer Kraft.</w:t>
      </w:r>
    </w:p>
    <w:p>
      <w:r>
        <w:rPr>
          <w:color w:val="555555"/>
          <w:sz w:val="17"/>
        </w:rPr>
        <w:t xml:space="preserve">Zitiervorschlag: § 47 DuPMedAusbV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https://recht.nulegal.eu/gesetze/DuPMedAusbV/47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