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DuPMedAusbV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„Digitalmedien gestalten und technisch umsetzen“    mit 50 Prozent,</w:t>
      </w:r>
    </w:p>
    <w:p>
      <w:r>
        <w:rPr>
          <w:rFonts w:ascii="Courier New" w:hAnsi="Courier New"/>
          <w:sz w:val="17"/>
        </w:rPr>
        <w:t xml:space="preserve">„Medien konzipieren, gestalten und präsentieren“    mit 20 Prozent,</w:t>
      </w:r>
    </w:p>
    <w:p>
      <w:r>
        <w:rPr>
          <w:rFonts w:ascii="Courier New" w:hAnsi="Courier New"/>
          <w:sz w:val="17"/>
        </w:rPr>
        <w:t xml:space="preserve">„Medien produzieren“    mit 20 Prozent</w:t>
      </w:r>
    </w:p>
    <w:p>
      <w:pPr>
        <w:ind w:left="420"/>
      </w:pPr>
      <w:r>
        <w:t xml:space="preserve">3.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4. (2) Die Abschluss- oder Gesellenprüfung ist bestanden, wenn die Prüfungsleistungen – auch unter Berücksichtigung einer mündlichen Ergänzungsprüfung nach § 46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„Digitalmedien gestalten und technisch umsetzen“ mit mindestens „ausreichend“,</w:t>
      </w:r>
    </w:p>
    <w:p>
      <w:pPr>
        <w:ind w:left="420"/>
      </w:pPr>
      <w:r>
        <w:t xml:space="preserve">3. in mindestens zwei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Über das Bestehen ist ein Beschluss nach § 42 Absatz 1 Nummer 3 des Berufsbildungsgesetzes oder nach § 35a Absatz 1 Nummer 3 der Handwerksordnung zu fassen.</w:t>
      </w:r>
    </w:p>
    <w:p>
      <w:r>
        <w:rPr>
          <w:color w:val="555555"/>
          <w:sz w:val="17"/>
        </w:rPr>
        <w:t xml:space="preserve">Zitiervorschlag: § 45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DuPMedAusbV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