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DuPMedAusbV — Mündliche Ergänzungsprüfung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„Medien konzipieren, gestalten und präsentieren“,</w:t>
      </w:r>
    </w:p>
    <w:p>
      <w:pPr>
        <w:ind w:left="780"/>
      </w:pPr>
      <w:r>
        <w:t xml:space="preserve">b) „Medien produzieren“ oder</w:t>
      </w:r>
    </w:p>
    <w:p>
      <w:pPr>
        <w:ind w:left="780"/>
      </w:pPr>
      <w:r>
        <w:t xml:space="preserve">c) „Wirtschafts- und Sozialkunde“,</w:t>
      </w:r>
    </w:p>
    <w:p>
      <w:pPr>
        <w:ind w:left="420"/>
      </w:pPr>
      <w:r>
        <w:t xml:space="preserve">2. wenn der benannte Prüfungsbereich nach Nummer 1 Buchstabe a, Buchstabe b oder Buchstabe c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dem Prüfungsbereich nach Satz 1 Nummer 1 Buchstabe a, Buchstabe b oder Buchstabe c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37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