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DuPMedAusbV — Prüfungsbereich „Medien konzipieren, gestalten und präsentieren“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„Medien konzipieren, gestalten und präsentieren“ hat der Prüfling nachzuweisen, dass er in der Lage ist,</w:t>
      </w:r>
    </w:p>
    <w:p>
      <w:pPr>
        <w:ind w:left="420"/>
      </w:pPr>
      <w:r>
        <w:t xml:space="preserve">1. Auftragsplanungen durchzuführen, Auftragsunterlagen zu prüfen und Arbeitsanweisungen zu erstellen,</w:t>
      </w:r>
    </w:p>
    <w:p>
      <w:pPr>
        <w:ind w:left="420"/>
      </w:pPr>
      <w:r>
        <w:t xml:space="preserve">2. Gestaltungsgrundsätze zielgruppen- und medienspezifisch anzuwenden und dabei Medienelemente nach Inhalt und Aussage auszuwählen,</w:t>
      </w:r>
    </w:p>
    <w:p>
      <w:pPr>
        <w:ind w:left="420"/>
      </w:pPr>
      <w:r>
        <w:t xml:space="preserve">3. Medienprodukte zu gestalten, zu beurteilen und zu optimieren,</w:t>
      </w:r>
    </w:p>
    <w:p>
      <w:pPr>
        <w:ind w:left="420"/>
      </w:pPr>
      <w:r>
        <w:t xml:space="preserve">4. medienrechtliche Vorschriften einzuhalten,</w:t>
      </w:r>
    </w:p>
    <w:p>
      <w:pPr>
        <w:ind w:left="420"/>
      </w:pPr>
      <w:r>
        <w:t xml:space="preserve">5. Korrekturen durchzuführen,</w:t>
      </w:r>
    </w:p>
    <w:p>
      <w:pPr>
        <w:ind w:left="420"/>
      </w:pPr>
      <w:r>
        <w:t xml:space="preserve">6. Kommunikationsformen und -regeln anzuwenden,</w:t>
      </w:r>
    </w:p>
    <w:p>
      <w:pPr>
        <w:ind w:left="420"/>
      </w:pPr>
      <w:r>
        <w:t xml:space="preserve">7. Printmedien nach Gestaltungsgrundsätzen und typografischen Regeln zu entwickeln sowie</w:t>
      </w:r>
    </w:p>
    <w:p>
      <w:pPr>
        <w:ind w:left="420"/>
      </w:pPr>
      <w:r>
        <w:t xml:space="preserve">8. Bildkompositionen und Grafiken nach gestalterischen Gesichtspunkten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33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