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DuPMedAusbV — Gegenstand der Berufsausbildung und Ausbildungsrahmenplan</w:t>
      </w:r>
    </w:p>
    <w:p>
      <w:r>
        <w:rPr>
          <w:color w:val="555555"/>
          <w:sz w:val="18"/>
        </w:rPr>
        <w:t xml:space="preserve">Digital- und Print-Mediengestalter-Ausbildungsverordnung</w:t>
      </w:r>
    </w:p>
    <w:p>
      <w:r>
        <w:rPr>
          <w:color w:val="555555"/>
          <w:sz w:val="18"/>
        </w:rPr>
        <w:t xml:space="preserve">Stand: 01.08.2023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selbstständiges Planen, Durchführen und Kontrollieren bei der Ausübung der beruflichen Aufgaben ein.</w:t>
      </w:r>
    </w:p>
    <w:p>
      <w:r>
        <w:rPr>
          <w:color w:val="555555"/>
          <w:sz w:val="17"/>
        </w:rPr>
        <w:t xml:space="preserve">Zitiervorschlag: § 3 DuPMedAusbV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https://recht.nulegal.eu/gesetze/DuPMedAusbV/3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