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DuPMedAusbV — Inhalt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Abschluss- oder Gesellenprüfung erstreckt sich auf</w:t>
      </w:r>
    </w:p>
    <w:p>
      <w:pPr>
        <w:ind w:left="420"/>
      </w:pPr>
      <w:r>
        <w:t xml:space="preserve">1. die im Ausbildungsrahmenplan (Anlage) Abschnitt A, C und H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(Anlage) Abschnitt A, C und H genannten Fertigkeiten, Kenntnissen und Fähigkeiten entspricht.</w:t>
      </w:r>
    </w:p>
    <w:p>
      <w:r>
        <w:rPr>
          <w:color w:val="555555"/>
          <w:sz w:val="17"/>
        </w:rPr>
        <w:t xml:space="preserve">Zitiervorschlag: § 21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