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DuPMedAusbV — Mündliche Ergänzungsprüfung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Der Prüfling kann in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„Medien konzipieren, gestalten und präsentieren“,</w:t>
      </w:r>
    </w:p>
    <w:p>
      <w:pPr>
        <w:ind w:left="780"/>
      </w:pPr>
      <w:r>
        <w:t xml:space="preserve">b) „Medien produzieren“ oder</w:t>
      </w:r>
    </w:p>
    <w:p>
      <w:pPr>
        <w:ind w:left="780"/>
      </w:pPr>
      <w:r>
        <w:t xml:space="preserve">c) „Wirtschafts- und Sozialkunde“,</w:t>
      </w:r>
    </w:p>
    <w:p>
      <w:pPr>
        <w:ind w:left="420"/>
      </w:pPr>
      <w:r>
        <w:t xml:space="preserve">2. wenn der benannte Prüfungsbereich nach Nummer 1 Buchstabe a, Buchstabe b oder Buchstabe c schlechter als mit „ausreichend“ bewertet worden ist und</w:t>
      </w:r>
    </w:p>
    <w:p>
      <w:pPr>
        <w:ind w:left="420"/>
      </w:pPr>
      <w:r>
        <w:t xml:space="preserve">3. wenn die mündliche Ergänzungsprüfung für das Bestehen der Abschluss- oder Gesellenprüfung den Ausschlag geben kann.</w:t>
      </w:r>
    </w:p>
    <w:p>
      <w:r>
        <w:t xml:space="preserve">Die mündliche Ergänzungsprüfung darf nur in dem Prüfungsbereich nach Satz 1 Nummer 1 Buchstabe a, Buchstabe b oder Buchstabe c durchgeführt werden.</w:t>
      </w:r>
    </w:p>
    <w:p>
      <w:r>
        <w:t xml:space="preserve">(3) Die mündliche Ergänzungsprüfung soll 15 Minuten dauern.</w:t>
      </w:r>
    </w:p>
    <w:p>
      <w:r>
        <w:t xml:space="preserve">(4) Bei der Ermittlung des Ergebnisses für den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19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