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DuPMedAusbV — Gewichtung der Prüfungsbereiche und Anforderungen für das Bestehen der Abschluss- oder Gesellenprüfung</w:t>
      </w:r>
    </w:p>
    <w:p>
      <w:r>
        <w:rPr>
          <w:color w:val="555555"/>
          <w:sz w:val="18"/>
        </w:rPr>
        <w:t xml:space="preserve">Digital- und Print-Mediengestalter-Ausbildungsverordnung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(1) Die Bewertungen der einzelnen Prüfungsbereiche sind wie folgt zu gewichten:</w:t>
      </w:r>
    </w:p>
    <w:p>
      <w:r>
        <w:rPr>
          <w:rFonts w:ascii="Courier New" w:hAnsi="Courier New"/>
          <w:sz w:val="17"/>
        </w:rPr>
        <w:t xml:space="preserve">„Projekte planen und umsetzen“    mit 50 Prozent,</w:t>
      </w:r>
    </w:p>
    <w:p>
      <w:r>
        <w:rPr>
          <w:rFonts w:ascii="Courier New" w:hAnsi="Courier New"/>
          <w:sz w:val="17"/>
        </w:rPr>
        <w:t xml:space="preserve">„Medien konzipieren, gestalten und präsentieren“    mit 20 Prozent,</w:t>
      </w:r>
    </w:p>
    <w:p>
      <w:r>
        <w:rPr>
          <w:rFonts w:ascii="Courier New" w:hAnsi="Courier New"/>
          <w:sz w:val="17"/>
        </w:rPr>
        <w:t xml:space="preserve">„Medien produzieren“    mit 20 Prozent</w:t>
      </w:r>
    </w:p>
    <w:p>
      <w:pPr>
        <w:ind w:left="420"/>
      </w:pPr>
      <w:r>
        <w:t xml:space="preserve">3. sowie</w:t>
      </w:r>
    </w:p>
    <w:p>
      <w:r>
        <w:rPr>
          <w:rFonts w:ascii="Courier New" w:hAnsi="Courier New"/>
          <w:sz w:val="17"/>
        </w:rPr>
        <w:t xml:space="preserve">„Wirtschafts- und Sozialkunde“    mit 10 Prozent.</w:t>
      </w:r>
    </w:p>
    <w:p>
      <w:pPr>
        <w:ind w:left="420"/>
      </w:pPr>
      <w:r>
        <w:t xml:space="preserve">4. (2) Die Abschluss- oder Gesellenprüfung ist bestanden, wenn die Prüfungsleistungen – auch unter Berücksichtigung einer mündlichen Ergänzungsprüfung nach § 19 – wie folgt bewertet worden sind:</w:t>
      </w:r>
    </w:p>
    <w:p>
      <w:pPr>
        <w:ind w:left="420"/>
      </w:pPr>
      <w:r>
        <w:t xml:space="preserve">1. im Gesamtergebnis mit mindestens „ausreichend“,</w:t>
      </w:r>
    </w:p>
    <w:p>
      <w:pPr>
        <w:ind w:left="420"/>
      </w:pPr>
      <w:r>
        <w:t xml:space="preserve">2. im Prüfungsbereich „Projekte planen und umsetzen“ mit mindestens „ausreichend“,</w:t>
      </w:r>
    </w:p>
    <w:p>
      <w:pPr>
        <w:ind w:left="420"/>
      </w:pPr>
      <w:r>
        <w:t xml:space="preserve">3. in mindestens zwei weiteren Prüfungsbereichen mit mindestens „ausreichend“ und</w:t>
      </w:r>
    </w:p>
    <w:p>
      <w:pPr>
        <w:ind w:left="420"/>
      </w:pPr>
      <w:r>
        <w:t xml:space="preserve">4. in keinem Prüfungsbereich mit „ungenügend“.</w:t>
      </w:r>
    </w:p>
    <w:p>
      <w:r>
        <w:t xml:space="preserve">Über das Bestehen ist ein Beschluss nach § 42 Absatz 1 Nummer 3 des Berufsbildungsgesetzes oder nach § 35a Absatz 1 Nummer 3 der Handwerksordnung zu fassen.</w:t>
      </w:r>
    </w:p>
    <w:p>
      <w:r>
        <w:rPr>
          <w:color w:val="555555"/>
          <w:sz w:val="17"/>
        </w:rPr>
        <w:t xml:space="preserve">Zitiervorschlag: § 18 DuPMedAusbV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https://recht.nulegal.eu/gesetze/DuPMedAusbV/18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